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01" w:rsidRPr="00791290" w:rsidRDefault="00D84101" w:rsidP="00D84101">
      <w:pPr>
        <w:pStyle w:val="Nadpis1"/>
        <w:spacing w:before="0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29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STAV SCREENINGOVÝCH PROGRAMŮ ZHOUBNÝCH NÁDORŮ</w:t>
      </w:r>
    </w:p>
    <w:p w:rsidR="00D84101" w:rsidRPr="00791290" w:rsidRDefault="00D84101" w:rsidP="00D84101">
      <w:pPr>
        <w:pStyle w:val="Nadpis1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9129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V ČESKÉ REPUBLICE A VÝZNAM ADRESNÉHO ZVANÍ OBČANŮ</w:t>
      </w:r>
    </w:p>
    <w:p w:rsidR="00D84101" w:rsidRPr="00791290" w:rsidRDefault="00D84101" w:rsidP="00D84101">
      <w:pPr>
        <w:pStyle w:val="Nadpis1"/>
        <w:tabs>
          <w:tab w:val="left" w:pos="1657"/>
          <w:tab w:val="center" w:pos="4748"/>
        </w:tabs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D84101" w:rsidRPr="00791290" w:rsidRDefault="00EA4F03" w:rsidP="00D84101">
      <w:pPr>
        <w:pStyle w:val="Nadpis1"/>
        <w:tabs>
          <w:tab w:val="left" w:pos="1657"/>
          <w:tab w:val="center" w:pos="4748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9129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Tisková zpráva </w:t>
      </w:r>
      <w:r w:rsidR="00D84101" w:rsidRPr="0079129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z odborného semináře pořádaného </w:t>
      </w:r>
      <w:r w:rsidRPr="00791290">
        <w:rPr>
          <w:rFonts w:ascii="Times New Roman" w:hAnsi="Times New Roman" w:cs="Times New Roman"/>
          <w:bCs w:val="0"/>
          <w:color w:val="auto"/>
          <w:sz w:val="24"/>
          <w:szCs w:val="24"/>
        </w:rPr>
        <w:t>Institut</w:t>
      </w:r>
      <w:r w:rsidR="00D84101" w:rsidRPr="00791290">
        <w:rPr>
          <w:rFonts w:ascii="Times New Roman" w:hAnsi="Times New Roman" w:cs="Times New Roman"/>
          <w:bCs w:val="0"/>
          <w:color w:val="auto"/>
          <w:sz w:val="24"/>
          <w:szCs w:val="24"/>
        </w:rPr>
        <w:t>em</w:t>
      </w:r>
      <w:r w:rsidRPr="0079129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biostatistiky </w:t>
      </w:r>
    </w:p>
    <w:p w:rsidR="00EA4F03" w:rsidRPr="00791290" w:rsidRDefault="00EA4F03" w:rsidP="00D84101">
      <w:pPr>
        <w:pStyle w:val="Nadpis1"/>
        <w:tabs>
          <w:tab w:val="left" w:pos="1657"/>
          <w:tab w:val="center" w:pos="4748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91290">
        <w:rPr>
          <w:rFonts w:ascii="Times New Roman" w:hAnsi="Times New Roman" w:cs="Times New Roman"/>
          <w:bCs w:val="0"/>
          <w:color w:val="auto"/>
          <w:sz w:val="24"/>
          <w:szCs w:val="24"/>
        </w:rPr>
        <w:t>a analýz Masarykovy univerzity</w:t>
      </w:r>
    </w:p>
    <w:p w:rsidR="00E25E62" w:rsidRPr="00791290" w:rsidRDefault="00E25E62" w:rsidP="00D841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84101" w:rsidRPr="00791290" w:rsidRDefault="00D84101" w:rsidP="00D841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9129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ve spolupráci s</w:t>
      </w:r>
    </w:p>
    <w:p w:rsidR="00E25E62" w:rsidRPr="00791290" w:rsidRDefault="00E25E62" w:rsidP="00D841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84101" w:rsidRPr="00791290" w:rsidRDefault="00D84101" w:rsidP="00D841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79129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Kanceláří WHO v České republice</w:t>
      </w:r>
    </w:p>
    <w:p w:rsidR="00D84101" w:rsidRPr="00791290" w:rsidRDefault="00D84101" w:rsidP="00D841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79129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Iniciativou KOLOREKTUM.CZ</w:t>
      </w:r>
    </w:p>
    <w:p w:rsidR="00D84101" w:rsidRPr="00791290" w:rsidRDefault="00D84101" w:rsidP="00D841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79129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Kanceláří poslance Evropského parlamentu RNDr. Pavla </w:t>
      </w:r>
      <w:proofErr w:type="spellStart"/>
      <w:r w:rsidRPr="0079129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Poce</w:t>
      </w:r>
      <w:proofErr w:type="spellEnd"/>
    </w:p>
    <w:p w:rsidR="001E1A5E" w:rsidRPr="00791290" w:rsidRDefault="001E1A5E" w:rsidP="00EA4F03">
      <w:pPr>
        <w:rPr>
          <w:rFonts w:ascii="Times New Roman" w:hAnsi="Times New Roman"/>
          <w:sz w:val="24"/>
          <w:szCs w:val="24"/>
        </w:rPr>
      </w:pPr>
    </w:p>
    <w:p w:rsidR="00D84101" w:rsidRPr="00791290" w:rsidRDefault="00D84101" w:rsidP="00EA4F03">
      <w:pPr>
        <w:rPr>
          <w:rFonts w:ascii="Times New Roman" w:hAnsi="Times New Roman"/>
          <w:sz w:val="24"/>
          <w:szCs w:val="24"/>
        </w:rPr>
      </w:pPr>
    </w:p>
    <w:p w:rsidR="001E1A5E" w:rsidRPr="00791290" w:rsidRDefault="001E1A5E" w:rsidP="00EA4F03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V České republice </w:t>
      </w:r>
      <w:r w:rsidR="002D6646" w:rsidRPr="00791290">
        <w:rPr>
          <w:rFonts w:ascii="Times New Roman" w:hAnsi="Times New Roman"/>
          <w:b/>
          <w:sz w:val="24"/>
          <w:szCs w:val="24"/>
        </w:rPr>
        <w:t xml:space="preserve">bude od ledna 2014 zahájeno adresné zvaní občanů do programů </w:t>
      </w:r>
      <w:proofErr w:type="spellStart"/>
      <w:r w:rsidR="002D6646" w:rsidRPr="00791290">
        <w:rPr>
          <w:rFonts w:ascii="Times New Roman" w:hAnsi="Times New Roman"/>
          <w:b/>
          <w:sz w:val="24"/>
          <w:szCs w:val="24"/>
        </w:rPr>
        <w:t>screening</w:t>
      </w:r>
      <w:r w:rsidR="00381107" w:rsidRPr="00791290">
        <w:rPr>
          <w:rFonts w:ascii="Times New Roman" w:hAnsi="Times New Roman"/>
          <w:b/>
          <w:sz w:val="24"/>
          <w:szCs w:val="24"/>
        </w:rPr>
        <w:t>u</w:t>
      </w:r>
      <w:proofErr w:type="spellEnd"/>
      <w:r w:rsidR="002D6646" w:rsidRPr="00791290">
        <w:rPr>
          <w:rFonts w:ascii="Times New Roman" w:hAnsi="Times New Roman"/>
          <w:b/>
          <w:sz w:val="24"/>
          <w:szCs w:val="24"/>
        </w:rPr>
        <w:t xml:space="preserve"> zhoubných nádorů, konkrétně screeningu nádorů děložního hrdla a nádorů prsu u žen, a dále </w:t>
      </w:r>
      <w:r w:rsidR="00314B0A" w:rsidRPr="00791290">
        <w:rPr>
          <w:rFonts w:ascii="Times New Roman" w:hAnsi="Times New Roman"/>
          <w:b/>
          <w:sz w:val="24"/>
          <w:szCs w:val="24"/>
        </w:rPr>
        <w:t>nádorů</w:t>
      </w:r>
      <w:r w:rsidR="002D6646" w:rsidRPr="00791290">
        <w:rPr>
          <w:rFonts w:ascii="Times New Roman" w:hAnsi="Times New Roman"/>
          <w:b/>
          <w:sz w:val="24"/>
          <w:szCs w:val="24"/>
        </w:rPr>
        <w:t xml:space="preserve"> tlustého střeva a konečníku. Cílem je posílit stávající programy prevence a </w:t>
      </w:r>
      <w:r w:rsidR="00314B0A" w:rsidRPr="00791290">
        <w:rPr>
          <w:rFonts w:ascii="Times New Roman" w:hAnsi="Times New Roman"/>
          <w:b/>
          <w:sz w:val="24"/>
          <w:szCs w:val="24"/>
        </w:rPr>
        <w:t xml:space="preserve">zvýšit </w:t>
      </w:r>
      <w:r w:rsidR="002D6646" w:rsidRPr="00791290">
        <w:rPr>
          <w:rFonts w:ascii="Times New Roman" w:hAnsi="Times New Roman"/>
          <w:b/>
          <w:sz w:val="24"/>
          <w:szCs w:val="24"/>
        </w:rPr>
        <w:t>dosud nedostatečnou účast v nich – proto budou adresně zváni občané, kteří se těchto programů dlouhodobě neúčastní a riskují tak závažné nádorové onemocnění. Program zvaní je koordinován Ministerstvem zdravotnictví ČR ve spolupráci s plátci zdravotní péče a s odbornými lékařskými společnostmi. Své klienty (pojištěnce) budou k prevenci zvát zdravotní pojišťovny, které tak</w:t>
      </w:r>
      <w:r w:rsidR="00314B0A" w:rsidRPr="00791290">
        <w:rPr>
          <w:rFonts w:ascii="Times New Roman" w:hAnsi="Times New Roman"/>
          <w:b/>
          <w:sz w:val="24"/>
          <w:szCs w:val="24"/>
        </w:rPr>
        <w:t>é</w:t>
      </w:r>
      <w:r w:rsidR="002D6646" w:rsidRPr="00791290">
        <w:rPr>
          <w:rFonts w:ascii="Times New Roman" w:hAnsi="Times New Roman"/>
          <w:b/>
          <w:sz w:val="24"/>
          <w:szCs w:val="24"/>
        </w:rPr>
        <w:t xml:space="preserve"> uhradí veškerá potřebná vyšetření. Tato </w:t>
      </w:r>
      <w:r w:rsidR="003C701D" w:rsidRPr="00791290">
        <w:rPr>
          <w:rFonts w:ascii="Times New Roman" w:hAnsi="Times New Roman"/>
          <w:b/>
          <w:sz w:val="24"/>
          <w:szCs w:val="24"/>
        </w:rPr>
        <w:t xml:space="preserve">tisková </w:t>
      </w:r>
      <w:r w:rsidR="002D6646" w:rsidRPr="00791290">
        <w:rPr>
          <w:rFonts w:ascii="Times New Roman" w:hAnsi="Times New Roman"/>
          <w:b/>
          <w:sz w:val="24"/>
          <w:szCs w:val="24"/>
        </w:rPr>
        <w:t xml:space="preserve">zpráva má ambici </w:t>
      </w:r>
      <w:r w:rsidR="003C701D" w:rsidRPr="00791290">
        <w:rPr>
          <w:rFonts w:ascii="Times New Roman" w:hAnsi="Times New Roman"/>
          <w:b/>
          <w:sz w:val="24"/>
          <w:szCs w:val="24"/>
        </w:rPr>
        <w:t xml:space="preserve">apelovat </w:t>
      </w:r>
      <w:r w:rsidR="00E25E62" w:rsidRPr="00791290">
        <w:rPr>
          <w:rFonts w:ascii="Times New Roman" w:hAnsi="Times New Roman"/>
          <w:b/>
          <w:sz w:val="24"/>
          <w:szCs w:val="24"/>
        </w:rPr>
        <w:t>n</w:t>
      </w:r>
      <w:r w:rsidR="003C701D" w:rsidRPr="00791290">
        <w:rPr>
          <w:rFonts w:ascii="Times New Roman" w:hAnsi="Times New Roman"/>
          <w:b/>
          <w:sz w:val="24"/>
          <w:szCs w:val="24"/>
        </w:rPr>
        <w:t xml:space="preserve">a občany </w:t>
      </w:r>
      <w:r w:rsidR="002D6646" w:rsidRPr="00791290">
        <w:rPr>
          <w:rFonts w:ascii="Times New Roman" w:hAnsi="Times New Roman"/>
          <w:b/>
          <w:sz w:val="24"/>
          <w:szCs w:val="24"/>
        </w:rPr>
        <w:t xml:space="preserve">ČR, aby tuto výzvu vyslyšeli, a do programů se zapojili. </w:t>
      </w:r>
    </w:p>
    <w:p w:rsidR="00314B0A" w:rsidRPr="00791290" w:rsidRDefault="00314B0A" w:rsidP="00EA4F03">
      <w:pPr>
        <w:rPr>
          <w:rFonts w:ascii="Times New Roman" w:hAnsi="Times New Roman"/>
          <w:sz w:val="24"/>
          <w:szCs w:val="24"/>
        </w:rPr>
      </w:pPr>
    </w:p>
    <w:p w:rsidR="001E1A5E" w:rsidRPr="00791290" w:rsidRDefault="00314B0A" w:rsidP="00EA4F03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>Proč právě Česká republika potřebuje posílení prevence nádorových onemocnění?</w:t>
      </w:r>
    </w:p>
    <w:p w:rsidR="001E1A5E" w:rsidRPr="00791290" w:rsidRDefault="00EA4F03" w:rsidP="00EA4F03">
      <w:pPr>
        <w:rPr>
          <w:rFonts w:ascii="Times New Roman" w:hAnsi="Times New Roman"/>
          <w:szCs w:val="22"/>
        </w:rPr>
      </w:pPr>
      <w:r w:rsidRPr="00791290">
        <w:rPr>
          <w:rFonts w:ascii="Times New Roman" w:hAnsi="Times New Roman"/>
          <w:szCs w:val="22"/>
        </w:rPr>
        <w:t>Č</w:t>
      </w:r>
      <w:r w:rsidR="003C701D" w:rsidRPr="00791290">
        <w:rPr>
          <w:rFonts w:ascii="Times New Roman" w:hAnsi="Times New Roman"/>
          <w:szCs w:val="22"/>
        </w:rPr>
        <w:t xml:space="preserve">R </w:t>
      </w:r>
      <w:r w:rsidRPr="00791290">
        <w:rPr>
          <w:rFonts w:ascii="Times New Roman" w:hAnsi="Times New Roman"/>
          <w:szCs w:val="22"/>
        </w:rPr>
        <w:t>bohužel patří mezi onkologicky nejvíce zatížené státy světa; ročně je v naší zemi nově diagnostikováno více než 7</w:t>
      </w:r>
      <w:r w:rsidR="009076B2" w:rsidRPr="00791290">
        <w:rPr>
          <w:rFonts w:ascii="Times New Roman" w:hAnsi="Times New Roman"/>
          <w:szCs w:val="22"/>
        </w:rPr>
        <w:t>7</w:t>
      </w:r>
      <w:r w:rsidRPr="00791290">
        <w:rPr>
          <w:rFonts w:ascii="Times New Roman" w:hAnsi="Times New Roman"/>
          <w:szCs w:val="22"/>
        </w:rPr>
        <w:t xml:space="preserve"> 000 onkologických onemocnění a </w:t>
      </w:r>
      <w:r w:rsidR="009076B2" w:rsidRPr="00791290">
        <w:rPr>
          <w:rFonts w:ascii="Times New Roman" w:hAnsi="Times New Roman"/>
          <w:szCs w:val="22"/>
        </w:rPr>
        <w:t>téměř</w:t>
      </w:r>
      <w:r w:rsidRPr="00791290">
        <w:rPr>
          <w:rFonts w:ascii="Times New Roman" w:hAnsi="Times New Roman"/>
          <w:szCs w:val="22"/>
        </w:rPr>
        <w:t xml:space="preserve"> 28 000 pacientů na tato onemocnění umírá. Počty nemocných nadto stále rostou, mimo jiné také v důsledku stárnutí české populace. </w:t>
      </w:r>
      <w:r w:rsidR="003C701D" w:rsidRPr="00791290">
        <w:rPr>
          <w:rFonts w:ascii="Times New Roman" w:hAnsi="Times New Roman"/>
          <w:szCs w:val="22"/>
        </w:rPr>
        <w:t xml:space="preserve">Ke konci roku 2013 bude v ČR žít </w:t>
      </w:r>
      <w:r w:rsidRPr="00791290">
        <w:rPr>
          <w:rFonts w:ascii="Times New Roman" w:hAnsi="Times New Roman"/>
          <w:szCs w:val="22"/>
        </w:rPr>
        <w:t>více než 4</w:t>
      </w:r>
      <w:r w:rsidR="009076B2" w:rsidRPr="00791290">
        <w:rPr>
          <w:rFonts w:ascii="Times New Roman" w:hAnsi="Times New Roman"/>
          <w:szCs w:val="22"/>
        </w:rPr>
        <w:t>5</w:t>
      </w:r>
      <w:r w:rsidRPr="00791290">
        <w:rPr>
          <w:rFonts w:ascii="Times New Roman" w:hAnsi="Times New Roman"/>
          <w:szCs w:val="22"/>
        </w:rPr>
        <w:t xml:space="preserve">0 000 občanů, kteří mají osobní zkušenost s nějakým typem nádoru. Tato alarmující čísla jsou sama o sobě obhajobou potřeby účinné prevence nádorových onemocnění. </w:t>
      </w:r>
      <w:r w:rsidR="00314B0A" w:rsidRPr="00791290">
        <w:rPr>
          <w:rFonts w:ascii="Times New Roman" w:hAnsi="Times New Roman"/>
          <w:szCs w:val="22"/>
        </w:rPr>
        <w:t>Následující tabulka shrnuje epidemiologické charakteristiky vybraných nádorových onemocnění v ČR.</w:t>
      </w:r>
    </w:p>
    <w:p w:rsidR="00314B0A" w:rsidRPr="00791290" w:rsidRDefault="00314B0A" w:rsidP="00EA4F03">
      <w:pPr>
        <w:rPr>
          <w:rFonts w:ascii="Times New Roman" w:hAnsi="Times New Roman"/>
          <w:szCs w:val="22"/>
        </w:rPr>
      </w:pPr>
    </w:p>
    <w:tbl>
      <w:tblPr>
        <w:tblW w:w="84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159"/>
        <w:gridCol w:w="1215"/>
        <w:gridCol w:w="1215"/>
        <w:gridCol w:w="2108"/>
      </w:tblGrid>
      <w:tr w:rsidR="009F148A" w:rsidRPr="00791290" w:rsidTr="008C4982">
        <w:trPr>
          <w:trHeight w:val="214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Rok 2000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Rok 2010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 xml:space="preserve">Predikce </w:t>
            </w:r>
          </w:p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pro rok 2014</w:t>
            </w:r>
          </w:p>
        </w:tc>
      </w:tr>
      <w:tr w:rsidR="009076B2" w:rsidRPr="00791290" w:rsidTr="009076B2">
        <w:trPr>
          <w:trHeight w:val="214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ED2001" w:rsidP="00ED2001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 xml:space="preserve">Zhoubné novotvary </w:t>
            </w:r>
            <w:r w:rsidR="00791290">
              <w:rPr>
                <w:rFonts w:ascii="Times New Roman" w:hAnsi="Times New Roman"/>
              </w:rPr>
              <w:t xml:space="preserve">celkem </w:t>
            </w:r>
            <w:r w:rsidR="009076B2" w:rsidRPr="00791290">
              <w:rPr>
                <w:rFonts w:ascii="Times New Roman" w:hAnsi="Times New Roman"/>
              </w:rPr>
              <w:t>(C00-C97)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incidence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9076B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58 410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9076B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77 035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-</w:t>
            </w:r>
          </w:p>
        </w:tc>
      </w:tr>
      <w:tr w:rsidR="009076B2" w:rsidRPr="00791290" w:rsidTr="009076B2">
        <w:trPr>
          <w:trHeight w:val="214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8C4982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mortalita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9076B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28 539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9076B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27 834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B2" w:rsidRPr="00791290" w:rsidRDefault="009076B2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-</w:t>
            </w:r>
          </w:p>
        </w:tc>
      </w:tr>
      <w:tr w:rsidR="009F148A" w:rsidRPr="00791290" w:rsidTr="008C4982">
        <w:trPr>
          <w:trHeight w:val="214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ZN hrdla děložního (C53)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incidence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1 052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994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1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022 (861; 1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181)</w:t>
            </w:r>
          </w:p>
        </w:tc>
      </w:tr>
      <w:tr w:rsidR="009F148A" w:rsidRPr="00791290" w:rsidTr="008C4982">
        <w:trPr>
          <w:trHeight w:val="214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mortalita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363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342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-</w:t>
            </w:r>
          </w:p>
        </w:tc>
      </w:tr>
      <w:tr w:rsidR="009F148A" w:rsidRPr="00791290" w:rsidTr="008C4982">
        <w:trPr>
          <w:trHeight w:val="214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ZN prsu (C50) u žen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incidence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5 004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6 498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7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313 (6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578; 8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049)</w:t>
            </w:r>
          </w:p>
        </w:tc>
      </w:tr>
      <w:tr w:rsidR="009F148A" w:rsidRPr="00791290" w:rsidTr="008C4982">
        <w:trPr>
          <w:trHeight w:val="214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mortalita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1 939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1 655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-</w:t>
            </w:r>
          </w:p>
        </w:tc>
      </w:tr>
      <w:tr w:rsidR="009F148A" w:rsidRPr="00791290" w:rsidTr="008C4982">
        <w:trPr>
          <w:trHeight w:val="214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ZN tlustého střeva a konečníku (C18-C20)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incidence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7 484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8 136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8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743 (7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987; 9</w:t>
            </w:r>
            <w:r w:rsidR="007D6F24" w:rsidRPr="00791290">
              <w:rPr>
                <w:rFonts w:ascii="Times New Roman" w:hAnsi="Times New Roman"/>
              </w:rPr>
              <w:t xml:space="preserve"> </w:t>
            </w:r>
            <w:r w:rsidRPr="00791290">
              <w:rPr>
                <w:rFonts w:ascii="Times New Roman" w:hAnsi="Times New Roman"/>
              </w:rPr>
              <w:t>504)</w:t>
            </w:r>
          </w:p>
        </w:tc>
      </w:tr>
      <w:tr w:rsidR="009F148A" w:rsidRPr="00791290" w:rsidTr="008C4982">
        <w:trPr>
          <w:trHeight w:val="214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mortalita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4 336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3 810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8A" w:rsidRPr="00791290" w:rsidRDefault="009F148A" w:rsidP="008C4982">
            <w:pPr>
              <w:jc w:val="center"/>
              <w:rPr>
                <w:rFonts w:ascii="Times New Roman" w:hAnsi="Times New Roman"/>
              </w:rPr>
            </w:pPr>
            <w:r w:rsidRPr="00791290">
              <w:rPr>
                <w:rFonts w:ascii="Times New Roman" w:hAnsi="Times New Roman"/>
              </w:rPr>
              <w:t>-</w:t>
            </w:r>
          </w:p>
        </w:tc>
      </w:tr>
    </w:tbl>
    <w:p w:rsidR="009F148A" w:rsidRPr="00791290" w:rsidRDefault="009F148A" w:rsidP="009F148A">
      <w:pPr>
        <w:rPr>
          <w:rFonts w:ascii="Times New Roman" w:hAnsi="Times New Roman"/>
          <w:szCs w:val="22"/>
        </w:rPr>
      </w:pPr>
      <w:r w:rsidRPr="00791290">
        <w:rPr>
          <w:rFonts w:ascii="Times New Roman" w:hAnsi="Times New Roman"/>
          <w:szCs w:val="22"/>
        </w:rPr>
        <w:t>incidence: počet nově diagnostikovaných onemocnění (zdroj: Národní onkologický registr ČR); mortalita: počet zemřelých na onemocnění (zdroj: Český statistický úřad)</w:t>
      </w:r>
    </w:p>
    <w:p w:rsidR="00314B0A" w:rsidRPr="00791290" w:rsidRDefault="00314B0A" w:rsidP="00EA4F03">
      <w:pPr>
        <w:rPr>
          <w:rFonts w:ascii="Times New Roman" w:hAnsi="Times New Roman"/>
          <w:sz w:val="24"/>
          <w:szCs w:val="24"/>
        </w:rPr>
      </w:pPr>
    </w:p>
    <w:p w:rsidR="00314B0A" w:rsidRPr="00791290" w:rsidRDefault="00314B0A" w:rsidP="00EA4F03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Co je podstatou screeningu vybraných skupin nádorů a pro koho je </w:t>
      </w:r>
      <w:proofErr w:type="spellStart"/>
      <w:r w:rsidRPr="00791290">
        <w:rPr>
          <w:rFonts w:ascii="Times New Roman" w:hAnsi="Times New Roman"/>
          <w:b/>
          <w:sz w:val="24"/>
          <w:szCs w:val="24"/>
        </w:rPr>
        <w:t>screening</w:t>
      </w:r>
      <w:proofErr w:type="spellEnd"/>
      <w:r w:rsidRPr="00791290">
        <w:rPr>
          <w:rFonts w:ascii="Times New Roman" w:hAnsi="Times New Roman"/>
          <w:b/>
          <w:sz w:val="24"/>
          <w:szCs w:val="24"/>
        </w:rPr>
        <w:t xml:space="preserve"> určen? </w:t>
      </w:r>
    </w:p>
    <w:p w:rsidR="001E1A5E" w:rsidRPr="00791290" w:rsidRDefault="00381107" w:rsidP="00EA4F03">
      <w:pPr>
        <w:rPr>
          <w:rFonts w:ascii="Times New Roman" w:hAnsi="Times New Roman"/>
          <w:szCs w:val="22"/>
        </w:rPr>
      </w:pPr>
      <w:r w:rsidRPr="00791290">
        <w:rPr>
          <w:rFonts w:ascii="Times New Roman" w:hAnsi="Times New Roman"/>
          <w:szCs w:val="22"/>
        </w:rPr>
        <w:t>N</w:t>
      </w:r>
      <w:r w:rsidR="001E1A5E" w:rsidRPr="00791290">
        <w:rPr>
          <w:rFonts w:ascii="Times New Roman" w:hAnsi="Times New Roman"/>
          <w:szCs w:val="22"/>
        </w:rPr>
        <w:t xml:space="preserve">ejlepší formou prevence jsou </w:t>
      </w:r>
      <w:r w:rsidRPr="00791290">
        <w:rPr>
          <w:rFonts w:ascii="Times New Roman" w:hAnsi="Times New Roman"/>
          <w:szCs w:val="22"/>
        </w:rPr>
        <w:t xml:space="preserve">samozřejmě </w:t>
      </w:r>
      <w:r w:rsidR="001E1A5E" w:rsidRPr="00791290">
        <w:rPr>
          <w:rFonts w:ascii="Times New Roman" w:hAnsi="Times New Roman"/>
          <w:szCs w:val="22"/>
        </w:rPr>
        <w:t xml:space="preserve">opatření zabraňující samotnému vzniku nádorových onemocnění, mezi která patří především zdravý životní styl. Pokud však již nádorové onemocnění </w:t>
      </w:r>
      <w:r w:rsidR="003C701D" w:rsidRPr="00791290">
        <w:rPr>
          <w:rFonts w:ascii="Times New Roman" w:hAnsi="Times New Roman"/>
          <w:szCs w:val="22"/>
        </w:rPr>
        <w:t>vznikne</w:t>
      </w:r>
      <w:r w:rsidR="001E1A5E" w:rsidRPr="00791290">
        <w:rPr>
          <w:rFonts w:ascii="Times New Roman" w:hAnsi="Times New Roman"/>
          <w:szCs w:val="22"/>
        </w:rPr>
        <w:t xml:space="preserve">, pak je nezbytné zajistit jeho co nejčasnější záchyt. Včas diagnostikovaná onemocnění jsou s vysokou </w:t>
      </w:r>
      <w:r w:rsidR="001E1A5E" w:rsidRPr="00791290">
        <w:rPr>
          <w:rFonts w:ascii="Times New Roman" w:hAnsi="Times New Roman"/>
          <w:szCs w:val="22"/>
        </w:rPr>
        <w:lastRenderedPageBreak/>
        <w:t xml:space="preserve">pravděpodobností dobře léčitelná. Toto pravidlo </w:t>
      </w:r>
      <w:r w:rsidRPr="00791290">
        <w:rPr>
          <w:rFonts w:ascii="Times New Roman" w:hAnsi="Times New Roman"/>
          <w:szCs w:val="22"/>
        </w:rPr>
        <w:t xml:space="preserve">platí </w:t>
      </w:r>
      <w:r w:rsidR="001E1A5E" w:rsidRPr="00791290">
        <w:rPr>
          <w:rFonts w:ascii="Times New Roman" w:hAnsi="Times New Roman"/>
          <w:szCs w:val="22"/>
        </w:rPr>
        <w:t>obecně pro všechny typ</w:t>
      </w:r>
      <w:r w:rsidR="003C701D" w:rsidRPr="00791290">
        <w:rPr>
          <w:rFonts w:ascii="Times New Roman" w:hAnsi="Times New Roman"/>
          <w:szCs w:val="22"/>
        </w:rPr>
        <w:t>y</w:t>
      </w:r>
      <w:r w:rsidR="001E1A5E" w:rsidRPr="00791290">
        <w:rPr>
          <w:rFonts w:ascii="Times New Roman" w:hAnsi="Times New Roman"/>
          <w:szCs w:val="22"/>
        </w:rPr>
        <w:t xml:space="preserve"> nádorů, u vybraných diagnóz je ale možnost včasného záchytu natolik </w:t>
      </w:r>
      <w:r w:rsidR="009263BD" w:rsidRPr="00791290">
        <w:rPr>
          <w:rFonts w:ascii="Times New Roman" w:hAnsi="Times New Roman"/>
          <w:szCs w:val="22"/>
        </w:rPr>
        <w:t>účinná a bezpečná</w:t>
      </w:r>
      <w:r w:rsidR="001E1A5E" w:rsidRPr="00791290">
        <w:rPr>
          <w:rFonts w:ascii="Times New Roman" w:hAnsi="Times New Roman"/>
          <w:szCs w:val="22"/>
        </w:rPr>
        <w:t>, že je možné nabídnout občanům preventivní screeningové vyšetření. J</w:t>
      </w:r>
      <w:r w:rsidRPr="00791290">
        <w:rPr>
          <w:rFonts w:ascii="Times New Roman" w:hAnsi="Times New Roman"/>
          <w:szCs w:val="22"/>
        </w:rPr>
        <w:t>d</w:t>
      </w:r>
      <w:r w:rsidR="001E1A5E" w:rsidRPr="00791290">
        <w:rPr>
          <w:rFonts w:ascii="Times New Roman" w:hAnsi="Times New Roman"/>
          <w:szCs w:val="22"/>
        </w:rPr>
        <w:t xml:space="preserve">e o nádory děložního hrdla a nádory prsu u žen, a dále o nádory tlustého střeva a konečníku. </w:t>
      </w:r>
    </w:p>
    <w:p w:rsidR="00C2424A" w:rsidRPr="00791290" w:rsidRDefault="00C2424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549"/>
        <w:gridCol w:w="2151"/>
        <w:gridCol w:w="4700"/>
      </w:tblGrid>
      <w:tr w:rsidR="00061B59" w:rsidRPr="00791290" w:rsidTr="00C2424A">
        <w:trPr>
          <w:trHeight w:val="361"/>
        </w:trPr>
        <w:tc>
          <w:tcPr>
            <w:tcW w:w="2549" w:type="dxa"/>
            <w:shd w:val="clear" w:color="auto" w:fill="E6E6E6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b/>
                <w:snapToGrid w:val="0"/>
                <w:sz w:val="20"/>
              </w:rPr>
            </w:pPr>
            <w:r w:rsidRPr="00791290">
              <w:rPr>
                <w:rFonts w:ascii="Times New Roman" w:hAnsi="Times New Roman"/>
                <w:b/>
                <w:snapToGrid w:val="0"/>
                <w:sz w:val="20"/>
              </w:rPr>
              <w:t>Screeningový program</w:t>
            </w:r>
          </w:p>
        </w:tc>
        <w:tc>
          <w:tcPr>
            <w:tcW w:w="2151" w:type="dxa"/>
            <w:shd w:val="clear" w:color="auto" w:fill="E6E6E6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b/>
                <w:snapToGrid w:val="0"/>
                <w:sz w:val="20"/>
              </w:rPr>
            </w:pPr>
            <w:r w:rsidRPr="00791290">
              <w:rPr>
                <w:rFonts w:ascii="Times New Roman" w:hAnsi="Times New Roman"/>
                <w:b/>
                <w:snapToGrid w:val="0"/>
                <w:sz w:val="20"/>
              </w:rPr>
              <w:t>Cílová populace</w:t>
            </w:r>
          </w:p>
        </w:tc>
        <w:tc>
          <w:tcPr>
            <w:tcW w:w="4700" w:type="dxa"/>
            <w:shd w:val="clear" w:color="auto" w:fill="E6E6E6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b/>
                <w:snapToGrid w:val="0"/>
                <w:sz w:val="20"/>
              </w:rPr>
            </w:pPr>
            <w:r w:rsidRPr="00791290">
              <w:rPr>
                <w:rFonts w:ascii="Times New Roman" w:hAnsi="Times New Roman"/>
                <w:b/>
                <w:snapToGrid w:val="0"/>
                <w:sz w:val="20"/>
              </w:rPr>
              <w:t>Screeningová metoda</w:t>
            </w:r>
          </w:p>
        </w:tc>
      </w:tr>
      <w:tr w:rsidR="00061B59" w:rsidRPr="00791290" w:rsidTr="00C2424A">
        <w:trPr>
          <w:trHeight w:val="269"/>
        </w:trPr>
        <w:tc>
          <w:tcPr>
            <w:tcW w:w="2549" w:type="dxa"/>
            <w:vAlign w:val="center"/>
          </w:tcPr>
          <w:p w:rsidR="00061B59" w:rsidRPr="00791290" w:rsidRDefault="00061B59" w:rsidP="00D2626A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Program screeningu </w:t>
            </w:r>
            <w:r w:rsidR="00D2626A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nádorů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prsu</w:t>
            </w:r>
          </w:p>
        </w:tc>
        <w:tc>
          <w:tcPr>
            <w:tcW w:w="2151" w:type="dxa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ženy ve věku 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br/>
              <w:t>od 45 let</w:t>
            </w:r>
          </w:p>
        </w:tc>
        <w:tc>
          <w:tcPr>
            <w:tcW w:w="4700" w:type="dxa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mamografické vyšetření jednou za dva roky</w:t>
            </w:r>
          </w:p>
        </w:tc>
      </w:tr>
      <w:tr w:rsidR="00061B59" w:rsidRPr="00791290" w:rsidTr="00C2424A">
        <w:trPr>
          <w:trHeight w:val="231"/>
        </w:trPr>
        <w:tc>
          <w:tcPr>
            <w:tcW w:w="2549" w:type="dxa"/>
            <w:vMerge w:val="restart"/>
            <w:vAlign w:val="center"/>
          </w:tcPr>
          <w:p w:rsidR="00061B59" w:rsidRPr="00791290" w:rsidRDefault="00061B59" w:rsidP="00D2626A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Program screeningu </w:t>
            </w:r>
            <w:r w:rsidR="00D2626A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nádorů tlustého střeva a konečníku</w:t>
            </w:r>
          </w:p>
        </w:tc>
        <w:tc>
          <w:tcPr>
            <w:tcW w:w="2151" w:type="dxa"/>
            <w:vMerge w:val="restart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muži a ženy 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br/>
              <w:t>ve věku od 50 let</w:t>
            </w:r>
          </w:p>
        </w:tc>
        <w:tc>
          <w:tcPr>
            <w:tcW w:w="4700" w:type="dxa"/>
            <w:vAlign w:val="center"/>
          </w:tcPr>
          <w:p w:rsidR="00061B59" w:rsidRPr="00791290" w:rsidRDefault="00061B59" w:rsidP="00D749B3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b/>
                <w:snapToGrid w:val="0"/>
                <w:sz w:val="20"/>
                <w:szCs w:val="22"/>
              </w:rPr>
              <w:t>50-54 let věku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– test na </w:t>
            </w:r>
            <w:r w:rsidR="00D749B3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skryté</w:t>
            </w:r>
            <w:r w:rsidR="00CC1742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(okultní)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krvácení </w:t>
            </w:r>
            <w:r w:rsidR="00D749B3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do stolice 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jednou ročně</w:t>
            </w:r>
          </w:p>
        </w:tc>
      </w:tr>
      <w:tr w:rsidR="00061B59" w:rsidRPr="00791290" w:rsidTr="00C2424A">
        <w:trPr>
          <w:trHeight w:val="231"/>
        </w:trPr>
        <w:tc>
          <w:tcPr>
            <w:tcW w:w="2549" w:type="dxa"/>
            <w:vMerge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</w:p>
        </w:tc>
        <w:tc>
          <w:tcPr>
            <w:tcW w:w="2151" w:type="dxa"/>
            <w:vMerge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</w:p>
        </w:tc>
        <w:tc>
          <w:tcPr>
            <w:tcW w:w="4700" w:type="dxa"/>
            <w:vAlign w:val="center"/>
          </w:tcPr>
          <w:p w:rsidR="00061B59" w:rsidRPr="00791290" w:rsidRDefault="00061B59" w:rsidP="00A23BAE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b/>
                <w:snapToGrid w:val="0"/>
                <w:sz w:val="20"/>
                <w:szCs w:val="22"/>
              </w:rPr>
              <w:t>od 55 let věku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– test na </w:t>
            </w:r>
            <w:r w:rsidR="00922804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skryté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krvácení </w:t>
            </w:r>
            <w:r w:rsidR="00922804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do stolice 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jednou za dva roky NEBO screeningová kolonoskopie jednou za 10 let</w:t>
            </w:r>
          </w:p>
        </w:tc>
      </w:tr>
      <w:tr w:rsidR="00061B59" w:rsidRPr="00791290" w:rsidTr="00C2424A">
        <w:trPr>
          <w:trHeight w:val="397"/>
        </w:trPr>
        <w:tc>
          <w:tcPr>
            <w:tcW w:w="2549" w:type="dxa"/>
            <w:vAlign w:val="center"/>
          </w:tcPr>
          <w:p w:rsidR="00061B59" w:rsidRPr="00791290" w:rsidRDefault="00061B59" w:rsidP="00D2626A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Program screeningu </w:t>
            </w:r>
            <w:r w:rsidR="00D2626A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nádorů</w:t>
            </w: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děložního hrdla</w:t>
            </w:r>
          </w:p>
        </w:tc>
        <w:tc>
          <w:tcPr>
            <w:tcW w:w="2151" w:type="dxa"/>
            <w:vAlign w:val="center"/>
          </w:tcPr>
          <w:p w:rsidR="00061B59" w:rsidRPr="00791290" w:rsidRDefault="00A24A7F" w:rsidP="00D24603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všechny dospělé ženy</w:t>
            </w:r>
            <w:r w:rsidR="00061B59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br/>
              <w:t>(</w:t>
            </w:r>
            <w:r w:rsidR="00D24603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po</w:t>
            </w:r>
            <w:r w:rsidR="00061B59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zv</w:t>
            </w:r>
            <w:r w:rsidR="00D24603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á</w:t>
            </w:r>
            <w:r w:rsidR="00061B59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ní od 25 let)</w:t>
            </w:r>
          </w:p>
        </w:tc>
        <w:tc>
          <w:tcPr>
            <w:tcW w:w="4700" w:type="dxa"/>
            <w:vAlign w:val="center"/>
          </w:tcPr>
          <w:p w:rsidR="00061B59" w:rsidRPr="00791290" w:rsidRDefault="00061B59" w:rsidP="0036436C">
            <w:pPr>
              <w:rPr>
                <w:rFonts w:ascii="Times New Roman" w:hAnsi="Times New Roman"/>
                <w:snapToGrid w:val="0"/>
                <w:sz w:val="20"/>
                <w:szCs w:val="22"/>
              </w:rPr>
            </w:pPr>
            <w:r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>vyšetření stěru z děložního hrdla jednou ročně</w:t>
            </w:r>
            <w:r w:rsidR="00224B5A" w:rsidRPr="00791290">
              <w:rPr>
                <w:rFonts w:ascii="Times New Roman" w:hAnsi="Times New Roman"/>
                <w:snapToGrid w:val="0"/>
                <w:sz w:val="20"/>
                <w:szCs w:val="22"/>
              </w:rPr>
              <w:t xml:space="preserve"> při gynekologické preventivní prohlídce</w:t>
            </w:r>
          </w:p>
        </w:tc>
      </w:tr>
    </w:tbl>
    <w:p w:rsidR="00061B59" w:rsidRPr="00791290" w:rsidRDefault="00061B59" w:rsidP="00EA4F03">
      <w:pPr>
        <w:rPr>
          <w:rFonts w:ascii="Times New Roman" w:hAnsi="Times New Roman"/>
          <w:sz w:val="24"/>
          <w:szCs w:val="24"/>
        </w:rPr>
      </w:pPr>
    </w:p>
    <w:p w:rsidR="00EA4F03" w:rsidRPr="00791290" w:rsidRDefault="00314B0A" w:rsidP="00EA4F03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Proč potřebuje screening adresné zvaní občanů? </w:t>
      </w:r>
    </w:p>
    <w:p w:rsidR="00EA4F03" w:rsidRPr="00791290" w:rsidRDefault="00C9057E" w:rsidP="00EA4F03">
      <w:pPr>
        <w:rPr>
          <w:rFonts w:ascii="Times New Roman" w:hAnsi="Times New Roman"/>
        </w:rPr>
      </w:pPr>
      <w:proofErr w:type="spellStart"/>
      <w:r w:rsidRPr="00791290">
        <w:rPr>
          <w:rFonts w:ascii="Times New Roman" w:hAnsi="Times New Roman"/>
        </w:rPr>
        <w:t>S</w:t>
      </w:r>
      <w:r w:rsidR="00B1291A" w:rsidRPr="00791290">
        <w:rPr>
          <w:rFonts w:ascii="Times New Roman" w:hAnsi="Times New Roman"/>
        </w:rPr>
        <w:t>creeningové</w:t>
      </w:r>
      <w:proofErr w:type="spellEnd"/>
      <w:r w:rsidR="00B1291A" w:rsidRPr="00791290">
        <w:rPr>
          <w:rFonts w:ascii="Times New Roman" w:hAnsi="Times New Roman"/>
        </w:rPr>
        <w:t xml:space="preserve"> programy umožňují výrazně snížit úmrtnost na uvedená nádorová onemocnění. Prvořadým předpokladem </w:t>
      </w:r>
      <w:r w:rsidRPr="00791290">
        <w:rPr>
          <w:rFonts w:ascii="Times New Roman" w:hAnsi="Times New Roman"/>
        </w:rPr>
        <w:t xml:space="preserve">jejich </w:t>
      </w:r>
      <w:r w:rsidR="00B1291A" w:rsidRPr="00791290">
        <w:rPr>
          <w:rFonts w:ascii="Times New Roman" w:hAnsi="Times New Roman"/>
        </w:rPr>
        <w:t xml:space="preserve">úspěchu je však </w:t>
      </w:r>
      <w:r w:rsidRPr="00791290">
        <w:rPr>
          <w:rFonts w:ascii="Times New Roman" w:hAnsi="Times New Roman"/>
        </w:rPr>
        <w:t xml:space="preserve">dostatečná účast občanů v </w:t>
      </w:r>
      <w:r w:rsidR="00B1291A" w:rsidRPr="00791290">
        <w:rPr>
          <w:rFonts w:ascii="Times New Roman" w:hAnsi="Times New Roman"/>
        </w:rPr>
        <w:t xml:space="preserve">ohrožených věkových skupinách. Aby se informace o rizicích nádorových onemocnění a </w:t>
      </w:r>
      <w:r w:rsidRPr="00791290">
        <w:rPr>
          <w:rFonts w:ascii="Times New Roman" w:hAnsi="Times New Roman"/>
        </w:rPr>
        <w:t xml:space="preserve">o </w:t>
      </w:r>
      <w:r w:rsidR="00B1291A" w:rsidRPr="00791290">
        <w:rPr>
          <w:rFonts w:ascii="Times New Roman" w:hAnsi="Times New Roman"/>
        </w:rPr>
        <w:t xml:space="preserve">přínosu </w:t>
      </w:r>
      <w:proofErr w:type="spellStart"/>
      <w:r w:rsidR="00B1291A" w:rsidRPr="00791290">
        <w:rPr>
          <w:rFonts w:ascii="Times New Roman" w:hAnsi="Times New Roman"/>
        </w:rPr>
        <w:t>screeningu</w:t>
      </w:r>
      <w:proofErr w:type="spellEnd"/>
      <w:r w:rsidR="00B1291A" w:rsidRPr="00791290">
        <w:rPr>
          <w:rFonts w:ascii="Times New Roman" w:hAnsi="Times New Roman"/>
        </w:rPr>
        <w:t xml:space="preserve"> dostala ke všem občanům, jsou ve vyspělých zemích ke screeningu obvykle pravidelně zváni. V ČR bohužel doposud tento postup nebyl zaveden, což se nepochybně podílí na nižší účasti občanů na </w:t>
      </w:r>
      <w:proofErr w:type="spellStart"/>
      <w:r w:rsidR="00B1291A" w:rsidRPr="00791290">
        <w:rPr>
          <w:rFonts w:ascii="Times New Roman" w:hAnsi="Times New Roman"/>
        </w:rPr>
        <w:t>screeningu</w:t>
      </w:r>
      <w:proofErr w:type="spellEnd"/>
      <w:r w:rsidR="00B1291A" w:rsidRPr="00791290">
        <w:rPr>
          <w:rFonts w:ascii="Times New Roman" w:hAnsi="Times New Roman"/>
        </w:rPr>
        <w:t xml:space="preserve">. </w:t>
      </w:r>
    </w:p>
    <w:p w:rsidR="00EA4F03" w:rsidRPr="00791290" w:rsidRDefault="00EA4F03" w:rsidP="00EA4F03">
      <w:pPr>
        <w:rPr>
          <w:rFonts w:ascii="Times New Roman" w:hAnsi="Times New Roman"/>
        </w:rPr>
      </w:pPr>
    </w:p>
    <w:p w:rsidR="00314B0A" w:rsidRPr="00791290" w:rsidRDefault="00314B0A" w:rsidP="00EA4F03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>Koho a jak budou zdravotní pojišťovny zvát do screeningu zhoubných nádorů?</w:t>
      </w:r>
    </w:p>
    <w:p w:rsidR="00147F2E" w:rsidRPr="00791290" w:rsidRDefault="00314B0A" w:rsidP="00147F2E">
      <w:pPr>
        <w:rPr>
          <w:rFonts w:ascii="Times New Roman" w:hAnsi="Times New Roman"/>
        </w:rPr>
      </w:pPr>
      <w:r w:rsidRPr="00791290">
        <w:rPr>
          <w:rFonts w:ascii="Times New Roman" w:hAnsi="Times New Roman"/>
        </w:rPr>
        <w:t>Zdravotní pojišťovny budou postupně zvát občany</w:t>
      </w:r>
      <w:r w:rsidR="00720E0C" w:rsidRPr="00791290">
        <w:rPr>
          <w:rFonts w:ascii="Times New Roman" w:hAnsi="Times New Roman"/>
        </w:rPr>
        <w:t xml:space="preserve"> do 70 let věku</w:t>
      </w:r>
      <w:r w:rsidRPr="00791290">
        <w:rPr>
          <w:rFonts w:ascii="Times New Roman" w:hAnsi="Times New Roman"/>
        </w:rPr>
        <w:t xml:space="preserve">, kteří se dlouhodobě nezapojují do </w:t>
      </w:r>
      <w:r w:rsidR="003C701D" w:rsidRPr="00791290">
        <w:rPr>
          <w:rFonts w:ascii="Times New Roman" w:hAnsi="Times New Roman"/>
        </w:rPr>
        <w:t>screeningu zhoubných nádorů</w:t>
      </w:r>
      <w:r w:rsidRPr="00791290">
        <w:rPr>
          <w:rFonts w:ascii="Times New Roman" w:hAnsi="Times New Roman"/>
        </w:rPr>
        <w:t>. Zvaní bude probíhat formou adresných dopisů, které popisují i konkrétní kroky, jak se do daného screeningu zapojit.  Občané budou zváni postupně v průběhu roku, podle měsíců svého narození. Pojišťovny budou každý rok kontrolovat zapojení pozvaných občanů do screeningu, a pokud n</w:t>
      </w:r>
      <w:r w:rsidR="003C701D" w:rsidRPr="00791290">
        <w:rPr>
          <w:rFonts w:ascii="Times New Roman" w:hAnsi="Times New Roman"/>
        </w:rPr>
        <w:t>enastane, budou zvaní opakovat. Následující tabulka shrnuje o</w:t>
      </w:r>
      <w:r w:rsidR="00A96437" w:rsidRPr="00791290">
        <w:rPr>
          <w:rFonts w:ascii="Times New Roman" w:hAnsi="Times New Roman"/>
        </w:rPr>
        <w:t xml:space="preserve">čekávaný počet </w:t>
      </w:r>
      <w:r w:rsidR="003C701D" w:rsidRPr="00791290">
        <w:rPr>
          <w:rFonts w:ascii="Times New Roman" w:hAnsi="Times New Roman"/>
        </w:rPr>
        <w:t xml:space="preserve">zvaných </w:t>
      </w:r>
      <w:r w:rsidR="00147F2E" w:rsidRPr="00791290">
        <w:rPr>
          <w:rFonts w:ascii="Times New Roman" w:hAnsi="Times New Roman"/>
        </w:rPr>
        <w:t xml:space="preserve">pojištěnců </w:t>
      </w:r>
      <w:r w:rsidR="00A96437" w:rsidRPr="00791290">
        <w:rPr>
          <w:rFonts w:ascii="Times New Roman" w:hAnsi="Times New Roman"/>
        </w:rPr>
        <w:t xml:space="preserve">(analýza provedená </w:t>
      </w:r>
      <w:r w:rsidR="00147F2E" w:rsidRPr="00791290">
        <w:rPr>
          <w:rFonts w:ascii="Times New Roman" w:hAnsi="Times New Roman"/>
        </w:rPr>
        <w:t>k dubnu 2013</w:t>
      </w:r>
      <w:r w:rsidR="00720E0C" w:rsidRPr="00791290">
        <w:rPr>
          <w:rFonts w:ascii="Times New Roman" w:hAnsi="Times New Roman"/>
        </w:rPr>
        <w:t>)</w:t>
      </w:r>
      <w:r w:rsidR="00A96437" w:rsidRPr="00791290">
        <w:rPr>
          <w:rFonts w:ascii="Times New Roman" w:hAnsi="Times New Roman"/>
        </w:rPr>
        <w:t>:</w:t>
      </w:r>
    </w:p>
    <w:p w:rsidR="003C701D" w:rsidRPr="00791290" w:rsidRDefault="003C701D" w:rsidP="00147F2E">
      <w:pPr>
        <w:rPr>
          <w:rFonts w:ascii="Times New Roman" w:hAnsi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2"/>
        <w:gridCol w:w="2010"/>
        <w:gridCol w:w="2977"/>
      </w:tblGrid>
      <w:tr w:rsidR="00147F2E" w:rsidRPr="00791290" w:rsidTr="00791290">
        <w:trPr>
          <w:trHeight w:val="595"/>
        </w:trPr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F2E" w:rsidRPr="00791290" w:rsidRDefault="00147F2E" w:rsidP="003C701D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b/>
                <w:bCs/>
                <w:color w:val="000000"/>
                <w:szCs w:val="22"/>
              </w:rPr>
              <w:t>Program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b/>
                <w:bCs/>
                <w:color w:val="000000"/>
                <w:szCs w:val="22"/>
              </w:rPr>
              <w:t>Počet pojištěnců</w:t>
            </w:r>
            <w:r w:rsidRPr="00791290">
              <w:rPr>
                <w:rFonts w:ascii="Times New Roman" w:hAnsi="Times New Roman"/>
                <w:b/>
                <w:bCs/>
                <w:color w:val="000000"/>
                <w:szCs w:val="22"/>
              </w:rPr>
              <w:br/>
              <w:t>Celkem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b/>
                <w:bCs/>
                <w:color w:val="000000"/>
                <w:szCs w:val="22"/>
              </w:rPr>
              <w:t>Počet pojištěnců</w:t>
            </w:r>
            <w:r w:rsidRPr="00791290">
              <w:rPr>
                <w:rFonts w:ascii="Times New Roman" w:hAnsi="Times New Roman"/>
                <w:b/>
                <w:bCs/>
                <w:color w:val="000000"/>
                <w:szCs w:val="22"/>
              </w:rPr>
              <w:br/>
              <w:t>Odhad na 1 měsíc</w:t>
            </w:r>
          </w:p>
        </w:tc>
      </w:tr>
      <w:tr w:rsidR="00147F2E" w:rsidRPr="00791290" w:rsidTr="00791290">
        <w:trPr>
          <w:trHeight w:val="29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9455EC">
            <w:pPr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 xml:space="preserve">Screening </w:t>
            </w:r>
            <w:r w:rsidR="009455EC" w:rsidRPr="00791290">
              <w:rPr>
                <w:rFonts w:ascii="Times New Roman" w:hAnsi="Times New Roman"/>
                <w:color w:val="000000"/>
                <w:szCs w:val="22"/>
              </w:rPr>
              <w:t>nádorů prsu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>494 651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>41 221</w:t>
            </w:r>
          </w:p>
        </w:tc>
      </w:tr>
      <w:tr w:rsidR="00147F2E" w:rsidRPr="00791290" w:rsidTr="00791290">
        <w:trPr>
          <w:trHeight w:val="29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9455EC">
            <w:pPr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 xml:space="preserve">Screening </w:t>
            </w:r>
            <w:r w:rsidR="009455EC" w:rsidRPr="00791290">
              <w:rPr>
                <w:rFonts w:ascii="Times New Roman" w:hAnsi="Times New Roman"/>
                <w:color w:val="000000"/>
                <w:szCs w:val="22"/>
              </w:rPr>
              <w:t>nádorů tlustého střeva a konečníku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>1 444 153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>120 346</w:t>
            </w:r>
          </w:p>
        </w:tc>
      </w:tr>
      <w:tr w:rsidR="00147F2E" w:rsidRPr="00791290" w:rsidTr="00791290">
        <w:trPr>
          <w:trHeight w:val="298"/>
        </w:trPr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9372C0" w:rsidP="009455EC">
            <w:pPr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 xml:space="preserve">Screening </w:t>
            </w:r>
            <w:r w:rsidR="009455EC" w:rsidRPr="00791290">
              <w:rPr>
                <w:rFonts w:ascii="Times New Roman" w:hAnsi="Times New Roman"/>
                <w:color w:val="000000"/>
                <w:szCs w:val="22"/>
              </w:rPr>
              <w:t>nádorů</w:t>
            </w:r>
            <w:r w:rsidRPr="00791290">
              <w:rPr>
                <w:rFonts w:ascii="Times New Roman" w:hAnsi="Times New Roman"/>
                <w:color w:val="000000"/>
                <w:szCs w:val="22"/>
              </w:rPr>
              <w:t xml:space="preserve"> děložního</w:t>
            </w:r>
            <w:r w:rsidR="00147F2E" w:rsidRPr="00791290">
              <w:rPr>
                <w:rFonts w:ascii="Times New Roman" w:hAnsi="Times New Roman"/>
                <w:color w:val="000000"/>
                <w:szCs w:val="22"/>
              </w:rPr>
              <w:t xml:space="preserve"> hrdla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>585 385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F2E" w:rsidRPr="00791290" w:rsidRDefault="00147F2E" w:rsidP="00147F2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91290">
              <w:rPr>
                <w:rFonts w:ascii="Times New Roman" w:hAnsi="Times New Roman"/>
                <w:color w:val="000000"/>
                <w:szCs w:val="22"/>
              </w:rPr>
              <w:t>48 782</w:t>
            </w:r>
          </w:p>
        </w:tc>
      </w:tr>
    </w:tbl>
    <w:p w:rsidR="00147F2E" w:rsidRPr="00791290" w:rsidRDefault="00147F2E" w:rsidP="00147F2E">
      <w:pPr>
        <w:rPr>
          <w:rFonts w:ascii="Times New Roman" w:hAnsi="Times New Roman"/>
        </w:rPr>
      </w:pPr>
    </w:p>
    <w:p w:rsidR="003E2F74" w:rsidRPr="00791290" w:rsidRDefault="003E2F74" w:rsidP="00147F2E">
      <w:pPr>
        <w:rPr>
          <w:rFonts w:ascii="Times New Roman" w:hAnsi="Times New Roman"/>
        </w:rPr>
      </w:pPr>
    </w:p>
    <w:p w:rsidR="00147F2E" w:rsidRPr="00791290" w:rsidRDefault="00314B0A" w:rsidP="00147F2E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Kam konkrétně budou občané zváni a </w:t>
      </w:r>
      <w:r w:rsidR="00C9057E" w:rsidRPr="00791290">
        <w:rPr>
          <w:rFonts w:ascii="Times New Roman" w:hAnsi="Times New Roman"/>
          <w:b/>
          <w:sz w:val="24"/>
          <w:szCs w:val="24"/>
        </w:rPr>
        <w:t>na jaká vyšetření</w:t>
      </w:r>
      <w:r w:rsidRPr="00791290">
        <w:rPr>
          <w:rFonts w:ascii="Times New Roman" w:hAnsi="Times New Roman"/>
          <w:b/>
          <w:sz w:val="24"/>
          <w:szCs w:val="24"/>
        </w:rPr>
        <w:t xml:space="preserve">? </w:t>
      </w:r>
    </w:p>
    <w:p w:rsidR="003C701D" w:rsidRPr="00791290" w:rsidRDefault="00791290" w:rsidP="00147F2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 zajištění funkčnosti </w:t>
      </w:r>
      <w:proofErr w:type="spellStart"/>
      <w:r>
        <w:rPr>
          <w:rFonts w:ascii="Times New Roman" w:hAnsi="Times New Roman"/>
          <w:szCs w:val="22"/>
        </w:rPr>
        <w:t>screeningů</w:t>
      </w:r>
      <w:proofErr w:type="spellEnd"/>
      <w:r>
        <w:rPr>
          <w:rFonts w:ascii="Times New Roman" w:hAnsi="Times New Roman"/>
          <w:szCs w:val="22"/>
        </w:rPr>
        <w:t xml:space="preserve"> je zásadní zejména zapojení praktických lékařů. </w:t>
      </w:r>
      <w:r w:rsidR="00441C85" w:rsidRPr="00791290">
        <w:rPr>
          <w:rFonts w:ascii="Times New Roman" w:hAnsi="Times New Roman"/>
          <w:szCs w:val="22"/>
        </w:rPr>
        <w:t xml:space="preserve">Ke </w:t>
      </w:r>
      <w:proofErr w:type="spellStart"/>
      <w:r w:rsidR="00441C85" w:rsidRPr="00791290">
        <w:rPr>
          <w:rFonts w:ascii="Times New Roman" w:hAnsi="Times New Roman"/>
          <w:szCs w:val="22"/>
        </w:rPr>
        <w:t>screeningu</w:t>
      </w:r>
      <w:proofErr w:type="spellEnd"/>
      <w:r w:rsidR="00441C85" w:rsidRPr="00791290">
        <w:rPr>
          <w:rFonts w:ascii="Times New Roman" w:hAnsi="Times New Roman"/>
          <w:szCs w:val="22"/>
        </w:rPr>
        <w:t xml:space="preserve"> </w:t>
      </w:r>
      <w:r w:rsidR="0064601C" w:rsidRPr="00791290">
        <w:rPr>
          <w:rFonts w:ascii="Times New Roman" w:hAnsi="Times New Roman"/>
          <w:szCs w:val="22"/>
        </w:rPr>
        <w:t>nádorů tlustého střeva a konečníku</w:t>
      </w:r>
      <w:r w:rsidR="00441C85" w:rsidRPr="00791290">
        <w:rPr>
          <w:rFonts w:ascii="Times New Roman" w:hAnsi="Times New Roman"/>
          <w:szCs w:val="22"/>
        </w:rPr>
        <w:t xml:space="preserve"> budou občané zváni k praktickému lékaři</w:t>
      </w:r>
      <w:r w:rsidR="00C9057E" w:rsidRPr="00791290">
        <w:rPr>
          <w:rFonts w:ascii="Times New Roman" w:hAnsi="Times New Roman"/>
          <w:szCs w:val="22"/>
        </w:rPr>
        <w:t xml:space="preserve">, ženy též ke </w:t>
      </w:r>
      <w:r w:rsidR="00441C85" w:rsidRPr="00791290">
        <w:rPr>
          <w:rFonts w:ascii="Times New Roman" w:hAnsi="Times New Roman"/>
          <w:szCs w:val="22"/>
        </w:rPr>
        <w:t xml:space="preserve">gynekologovi. </w:t>
      </w:r>
      <w:r>
        <w:rPr>
          <w:rFonts w:ascii="Times New Roman" w:hAnsi="Times New Roman"/>
          <w:szCs w:val="22"/>
        </w:rPr>
        <w:t xml:space="preserve">Lékaři jim nabídnou </w:t>
      </w:r>
      <w:r w:rsidR="00441C85" w:rsidRPr="00791290">
        <w:rPr>
          <w:rFonts w:ascii="Times New Roman" w:hAnsi="Times New Roman"/>
          <w:szCs w:val="22"/>
        </w:rPr>
        <w:t xml:space="preserve">test skrytého krvácení do stolice, od 55 let mohou po domluvě s lékařem podstoupit přímo kolonoskopické vyšetření. Praktický lékař nebo gynekolog také ženám vydá žádanku na mamografické vyšetření ve specializovaném centru. Screening </w:t>
      </w:r>
      <w:r w:rsidR="001769A7" w:rsidRPr="00791290">
        <w:rPr>
          <w:rFonts w:ascii="Times New Roman" w:hAnsi="Times New Roman"/>
          <w:szCs w:val="22"/>
        </w:rPr>
        <w:t>nádorů</w:t>
      </w:r>
      <w:r w:rsidR="00441C85" w:rsidRPr="00791290">
        <w:rPr>
          <w:rFonts w:ascii="Times New Roman" w:hAnsi="Times New Roman"/>
          <w:szCs w:val="22"/>
        </w:rPr>
        <w:t xml:space="preserve"> </w:t>
      </w:r>
      <w:r w:rsidR="00A03002" w:rsidRPr="00791290">
        <w:rPr>
          <w:rFonts w:ascii="Times New Roman" w:hAnsi="Times New Roman"/>
          <w:szCs w:val="22"/>
        </w:rPr>
        <w:t>děložního hrdla se provádí u gynekologa v rámci preventivní prohlídky</w:t>
      </w:r>
      <w:r w:rsidR="00441C85" w:rsidRPr="00791290">
        <w:rPr>
          <w:rFonts w:ascii="Times New Roman" w:hAnsi="Times New Roman"/>
          <w:szCs w:val="22"/>
        </w:rPr>
        <w:t xml:space="preserve">. </w:t>
      </w:r>
    </w:p>
    <w:p w:rsidR="003C701D" w:rsidRPr="00791290" w:rsidRDefault="003C701D" w:rsidP="00147F2E">
      <w:pPr>
        <w:rPr>
          <w:rFonts w:ascii="Times New Roman" w:hAnsi="Times New Roman"/>
          <w:szCs w:val="22"/>
        </w:rPr>
      </w:pPr>
    </w:p>
    <w:p w:rsidR="00314B0A" w:rsidRPr="00791290" w:rsidRDefault="00314B0A" w:rsidP="00147F2E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Jak je v ČR zajištěna bezpečnost a kapacita screeningových programů? </w:t>
      </w:r>
    </w:p>
    <w:p w:rsidR="00314B0A" w:rsidRPr="00791290" w:rsidRDefault="00A23BAE" w:rsidP="00147F2E">
      <w:pPr>
        <w:rPr>
          <w:rFonts w:ascii="Times New Roman" w:hAnsi="Times New Roman"/>
          <w:szCs w:val="22"/>
        </w:rPr>
      </w:pPr>
      <w:r w:rsidRPr="00791290">
        <w:rPr>
          <w:rFonts w:ascii="Times New Roman" w:hAnsi="Times New Roman"/>
          <w:szCs w:val="22"/>
        </w:rPr>
        <w:t>Screeningová m</w:t>
      </w:r>
      <w:r w:rsidR="00D775D8" w:rsidRPr="00791290">
        <w:rPr>
          <w:rFonts w:ascii="Times New Roman" w:hAnsi="Times New Roman"/>
          <w:szCs w:val="22"/>
        </w:rPr>
        <w:t>amografická vyšetření, kolonoskopická vyšetření a hodnocení vzorků z děložního hrdla mohou v ČR provádět po</w:t>
      </w:r>
      <w:r w:rsidR="00974FB7" w:rsidRPr="00791290">
        <w:rPr>
          <w:rFonts w:ascii="Times New Roman" w:hAnsi="Times New Roman"/>
          <w:szCs w:val="22"/>
        </w:rPr>
        <w:t>uze pracoviště doporučená komisemi</w:t>
      </w:r>
      <w:r w:rsidR="00D775D8" w:rsidRPr="00791290">
        <w:rPr>
          <w:rFonts w:ascii="Times New Roman" w:hAnsi="Times New Roman"/>
          <w:szCs w:val="22"/>
        </w:rPr>
        <w:t xml:space="preserve"> Ministerstva zdravotnictví ČR po splnění </w:t>
      </w:r>
      <w:r w:rsidR="00D775D8" w:rsidRPr="00791290">
        <w:rPr>
          <w:rFonts w:ascii="Times New Roman" w:hAnsi="Times New Roman"/>
          <w:szCs w:val="22"/>
        </w:rPr>
        <w:lastRenderedPageBreak/>
        <w:t>náročných podmínek.</w:t>
      </w:r>
      <w:r w:rsidR="002C4F47" w:rsidRPr="00791290">
        <w:rPr>
          <w:rFonts w:ascii="Times New Roman" w:hAnsi="Times New Roman"/>
          <w:szCs w:val="22"/>
        </w:rPr>
        <w:t xml:space="preserve"> Kvalit</w:t>
      </w:r>
      <w:r w:rsidR="00974FB7" w:rsidRPr="00791290">
        <w:rPr>
          <w:rFonts w:ascii="Times New Roman" w:hAnsi="Times New Roman"/>
          <w:szCs w:val="22"/>
        </w:rPr>
        <w:t xml:space="preserve">a vybraných pracovišť je komisemi </w:t>
      </w:r>
      <w:r w:rsidR="002C4F47" w:rsidRPr="00791290">
        <w:rPr>
          <w:rFonts w:ascii="Times New Roman" w:hAnsi="Times New Roman"/>
          <w:szCs w:val="22"/>
        </w:rPr>
        <w:t>pravidelně kontrolována</w:t>
      </w:r>
      <w:r w:rsidR="00335753" w:rsidRPr="00791290">
        <w:rPr>
          <w:rFonts w:ascii="Times New Roman" w:hAnsi="Times New Roman"/>
          <w:szCs w:val="22"/>
        </w:rPr>
        <w:t xml:space="preserve"> </w:t>
      </w:r>
      <w:r w:rsidR="002C4F47" w:rsidRPr="00791290">
        <w:rPr>
          <w:rFonts w:ascii="Times New Roman" w:hAnsi="Times New Roman"/>
          <w:szCs w:val="22"/>
        </w:rPr>
        <w:t xml:space="preserve">přímo na místě, pracoviště zároveň k centrálnímu vyhodnocení zasílají údaje </w:t>
      </w:r>
      <w:r w:rsidR="00974FB7" w:rsidRPr="00791290">
        <w:rPr>
          <w:rFonts w:ascii="Times New Roman" w:hAnsi="Times New Roman"/>
          <w:szCs w:val="22"/>
        </w:rPr>
        <w:t xml:space="preserve">pro </w:t>
      </w:r>
      <w:r w:rsidR="002C4F47" w:rsidRPr="00791290">
        <w:rPr>
          <w:rFonts w:ascii="Times New Roman" w:hAnsi="Times New Roman"/>
          <w:szCs w:val="22"/>
        </w:rPr>
        <w:t>sledování kvality</w:t>
      </w:r>
      <w:r w:rsidR="00254DE9" w:rsidRPr="00791290">
        <w:rPr>
          <w:rFonts w:ascii="Times New Roman" w:hAnsi="Times New Roman"/>
          <w:szCs w:val="22"/>
        </w:rPr>
        <w:t xml:space="preserve"> prováděných vyšetření</w:t>
      </w:r>
      <w:r w:rsidR="002C4F47" w:rsidRPr="00791290">
        <w:rPr>
          <w:rFonts w:ascii="Times New Roman" w:hAnsi="Times New Roman"/>
          <w:szCs w:val="22"/>
        </w:rPr>
        <w:t>. V</w:t>
      </w:r>
      <w:r w:rsidR="00254DE9" w:rsidRPr="00791290">
        <w:rPr>
          <w:rFonts w:ascii="Times New Roman" w:hAnsi="Times New Roman"/>
          <w:szCs w:val="22"/>
        </w:rPr>
        <w:t xml:space="preserve"> ČR je v současnosti </w:t>
      </w:r>
      <w:r w:rsidR="00FB41FE" w:rsidRPr="00791290">
        <w:rPr>
          <w:rFonts w:ascii="Times New Roman" w:hAnsi="Times New Roman"/>
          <w:szCs w:val="22"/>
        </w:rPr>
        <w:t xml:space="preserve">ke screeningu vybráno </w:t>
      </w:r>
      <w:r w:rsidR="00254DE9" w:rsidRPr="00791290">
        <w:rPr>
          <w:rFonts w:ascii="Times New Roman" w:hAnsi="Times New Roman"/>
          <w:szCs w:val="22"/>
        </w:rPr>
        <w:t>69 mamografických pracovišť</w:t>
      </w:r>
      <w:r w:rsidR="00FB41FE" w:rsidRPr="00791290">
        <w:rPr>
          <w:rFonts w:ascii="Times New Roman" w:hAnsi="Times New Roman"/>
          <w:szCs w:val="22"/>
        </w:rPr>
        <w:t>, 168 kolonoskopických pracovišť a 37 laboratoří hodnotících screeningové vzorky z děložního hrdla.</w:t>
      </w:r>
    </w:p>
    <w:p w:rsidR="003C701D" w:rsidRPr="00791290" w:rsidRDefault="003C701D" w:rsidP="00147F2E">
      <w:pPr>
        <w:rPr>
          <w:rFonts w:ascii="Times New Roman" w:hAnsi="Times New Roman"/>
          <w:sz w:val="24"/>
          <w:szCs w:val="24"/>
        </w:rPr>
      </w:pPr>
    </w:p>
    <w:p w:rsidR="003C701D" w:rsidRPr="00791290" w:rsidRDefault="003C701D" w:rsidP="003C701D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Jak výkonné jsou české </w:t>
      </w:r>
      <w:r w:rsidR="001540BC" w:rsidRPr="00791290">
        <w:rPr>
          <w:rFonts w:ascii="Times New Roman" w:hAnsi="Times New Roman"/>
          <w:b/>
          <w:sz w:val="24"/>
          <w:szCs w:val="24"/>
        </w:rPr>
        <w:t>programy screeningu</w:t>
      </w:r>
      <w:r w:rsidRPr="00791290">
        <w:rPr>
          <w:rFonts w:ascii="Times New Roman" w:hAnsi="Times New Roman"/>
          <w:b/>
          <w:sz w:val="24"/>
          <w:szCs w:val="24"/>
        </w:rPr>
        <w:t xml:space="preserve"> zhoubných nádorů?</w:t>
      </w:r>
    </w:p>
    <w:p w:rsidR="00371857" w:rsidRPr="00791290" w:rsidRDefault="00371857" w:rsidP="00576827">
      <w:pPr>
        <w:rPr>
          <w:rFonts w:ascii="Times New Roman" w:hAnsi="Times New Roman"/>
          <w:szCs w:val="22"/>
        </w:rPr>
      </w:pPr>
      <w:r w:rsidRPr="00791290">
        <w:rPr>
          <w:rFonts w:ascii="Times New Roman" w:hAnsi="Times New Roman"/>
          <w:szCs w:val="22"/>
        </w:rPr>
        <w:t>Screeningové programy jsou v ČR dobře zavedeny a již nyní zachytávají velký podíl nádorů ve velmi časných stadiích nebo ve stadiu prekanceróz</w:t>
      </w:r>
      <w:r w:rsidR="00A17F1B" w:rsidRPr="00791290">
        <w:rPr>
          <w:rFonts w:ascii="Times New Roman" w:hAnsi="Times New Roman"/>
          <w:szCs w:val="22"/>
        </w:rPr>
        <w:t xml:space="preserve"> – nezhoubných </w:t>
      </w:r>
      <w:r w:rsidR="00974FB7" w:rsidRPr="00791290">
        <w:rPr>
          <w:rFonts w:ascii="Times New Roman" w:hAnsi="Times New Roman"/>
          <w:szCs w:val="22"/>
        </w:rPr>
        <w:t>stadií</w:t>
      </w:r>
      <w:r w:rsidR="00762F24" w:rsidRPr="00791290">
        <w:rPr>
          <w:rFonts w:ascii="Times New Roman" w:hAnsi="Times New Roman"/>
          <w:szCs w:val="22"/>
        </w:rPr>
        <w:t>,</w:t>
      </w:r>
      <w:r w:rsidR="00A17F1B" w:rsidRPr="00791290">
        <w:rPr>
          <w:rFonts w:ascii="Times New Roman" w:hAnsi="Times New Roman"/>
          <w:szCs w:val="22"/>
        </w:rPr>
        <w:t xml:space="preserve"> které předcházejí vzniku </w:t>
      </w:r>
      <w:r w:rsidR="009878D3" w:rsidRPr="00791290">
        <w:rPr>
          <w:rFonts w:ascii="Times New Roman" w:hAnsi="Times New Roman"/>
          <w:szCs w:val="22"/>
        </w:rPr>
        <w:t>zhoubného nádoru</w:t>
      </w:r>
      <w:r w:rsidRPr="00791290">
        <w:rPr>
          <w:rFonts w:ascii="Times New Roman" w:hAnsi="Times New Roman"/>
          <w:szCs w:val="22"/>
        </w:rPr>
        <w:t xml:space="preserve">. Vyšší účast občanů ve screeningu efekt těchto preventivních programů dále posílí. </w:t>
      </w:r>
      <w:r w:rsidR="00576827" w:rsidRPr="00791290">
        <w:rPr>
          <w:rFonts w:ascii="Times New Roman" w:hAnsi="Times New Roman"/>
          <w:szCs w:val="22"/>
        </w:rPr>
        <w:t xml:space="preserve">Podle aktuálních údajů </w:t>
      </w:r>
      <w:r w:rsidR="00294256">
        <w:rPr>
          <w:rFonts w:ascii="Times New Roman" w:hAnsi="Times New Roman"/>
          <w:szCs w:val="22"/>
        </w:rPr>
        <w:t>je do</w:t>
      </w:r>
      <w:r w:rsidR="00576827" w:rsidRPr="00791290">
        <w:rPr>
          <w:rFonts w:ascii="Times New Roman" w:hAnsi="Times New Roman"/>
          <w:szCs w:val="22"/>
        </w:rPr>
        <w:t xml:space="preserve"> </w:t>
      </w:r>
      <w:proofErr w:type="spellStart"/>
      <w:r w:rsidR="00576827" w:rsidRPr="00791290">
        <w:rPr>
          <w:rFonts w:ascii="Times New Roman" w:hAnsi="Times New Roman"/>
          <w:szCs w:val="22"/>
        </w:rPr>
        <w:t>screeningu</w:t>
      </w:r>
      <w:proofErr w:type="spellEnd"/>
      <w:r w:rsidR="00576827" w:rsidRPr="00791290">
        <w:rPr>
          <w:rFonts w:ascii="Times New Roman" w:hAnsi="Times New Roman"/>
          <w:szCs w:val="22"/>
        </w:rPr>
        <w:t xml:space="preserve"> </w:t>
      </w:r>
      <w:r w:rsidR="008D6788" w:rsidRPr="00791290">
        <w:rPr>
          <w:rFonts w:ascii="Times New Roman" w:hAnsi="Times New Roman"/>
          <w:szCs w:val="22"/>
        </w:rPr>
        <w:t>nádorů</w:t>
      </w:r>
      <w:r w:rsidR="00576827" w:rsidRPr="00791290">
        <w:rPr>
          <w:rFonts w:ascii="Times New Roman" w:hAnsi="Times New Roman"/>
          <w:szCs w:val="22"/>
        </w:rPr>
        <w:t xml:space="preserve"> prsu ročně </w:t>
      </w:r>
      <w:r w:rsidR="00294256">
        <w:rPr>
          <w:rFonts w:ascii="Times New Roman" w:hAnsi="Times New Roman"/>
          <w:szCs w:val="22"/>
        </w:rPr>
        <w:t xml:space="preserve">zapojeno </w:t>
      </w:r>
      <w:r w:rsidR="00576827" w:rsidRPr="00791290">
        <w:rPr>
          <w:rFonts w:ascii="Times New Roman" w:hAnsi="Times New Roman"/>
          <w:szCs w:val="22"/>
        </w:rPr>
        <w:t>přes 600 </w:t>
      </w:r>
      <w:r w:rsidR="00EF0EF2" w:rsidRPr="00791290">
        <w:rPr>
          <w:rFonts w:ascii="Times New Roman" w:hAnsi="Times New Roman"/>
          <w:szCs w:val="22"/>
        </w:rPr>
        <w:t>tisíc</w:t>
      </w:r>
      <w:r w:rsidR="00576827" w:rsidRPr="00791290">
        <w:rPr>
          <w:rFonts w:ascii="Times New Roman" w:hAnsi="Times New Roman"/>
          <w:szCs w:val="22"/>
        </w:rPr>
        <w:t xml:space="preserve"> žen, u 3</w:t>
      </w:r>
      <w:r w:rsidR="00EF0EF2" w:rsidRPr="00791290">
        <w:rPr>
          <w:rFonts w:ascii="Times New Roman" w:hAnsi="Times New Roman"/>
          <w:szCs w:val="22"/>
        </w:rPr>
        <w:t xml:space="preserve"> tisíc </w:t>
      </w:r>
      <w:r w:rsidR="00576827" w:rsidRPr="00791290">
        <w:rPr>
          <w:rFonts w:ascii="Times New Roman" w:hAnsi="Times New Roman"/>
          <w:szCs w:val="22"/>
        </w:rPr>
        <w:t xml:space="preserve">z nich je </w:t>
      </w:r>
      <w:r w:rsidR="00294256">
        <w:rPr>
          <w:rFonts w:ascii="Times New Roman" w:hAnsi="Times New Roman"/>
          <w:szCs w:val="22"/>
        </w:rPr>
        <w:t>nalezen</w:t>
      </w:r>
      <w:r w:rsidR="00576827" w:rsidRPr="00791290">
        <w:rPr>
          <w:rFonts w:ascii="Times New Roman" w:hAnsi="Times New Roman"/>
          <w:szCs w:val="22"/>
        </w:rPr>
        <w:t xml:space="preserve"> </w:t>
      </w:r>
      <w:r w:rsidR="008D6788" w:rsidRPr="00791290">
        <w:rPr>
          <w:rFonts w:ascii="Times New Roman" w:hAnsi="Times New Roman"/>
          <w:szCs w:val="22"/>
        </w:rPr>
        <w:t>karcinom</w:t>
      </w:r>
      <w:r w:rsidR="00576827" w:rsidRPr="00791290">
        <w:rPr>
          <w:rFonts w:ascii="Times New Roman" w:hAnsi="Times New Roman"/>
          <w:szCs w:val="22"/>
        </w:rPr>
        <w:t xml:space="preserve"> prsu, v drtivé většině v časném stadiu s velkou šancí na vyléčení. Test skrytého krvácení do stolice ročně podstupuje přes půl milionu mužů a žen. U přibližně 9 tisíc jedinců je při následné kolonoskopii objeven a odstraněn adenom, nezhoubný nádor, ze kterého by se bez screeningu mohl vyvinout kolorektální karcinom. Bohužel je i ve screeningu objeveno každoročně asi 800 </w:t>
      </w:r>
      <w:r w:rsidR="009A3876" w:rsidRPr="00791290">
        <w:rPr>
          <w:rFonts w:ascii="Times New Roman" w:hAnsi="Times New Roman"/>
          <w:szCs w:val="22"/>
        </w:rPr>
        <w:t>kolorektálních karcinomů</w:t>
      </w:r>
      <w:r w:rsidR="00576827" w:rsidRPr="00791290">
        <w:rPr>
          <w:rFonts w:ascii="Times New Roman" w:hAnsi="Times New Roman"/>
          <w:szCs w:val="22"/>
        </w:rPr>
        <w:t xml:space="preserve">, časný nález však dává i těmto pacientům dobré vyhlídky na vyléčení. </w:t>
      </w:r>
      <w:r w:rsidR="009D0DAD" w:rsidRPr="00791290">
        <w:rPr>
          <w:rFonts w:ascii="Times New Roman" w:hAnsi="Times New Roman"/>
          <w:szCs w:val="22"/>
        </w:rPr>
        <w:t xml:space="preserve">Screening </w:t>
      </w:r>
      <w:r w:rsidR="00521118" w:rsidRPr="00791290">
        <w:rPr>
          <w:rFonts w:ascii="Times New Roman" w:hAnsi="Times New Roman"/>
          <w:szCs w:val="22"/>
        </w:rPr>
        <w:t xml:space="preserve">nádorů </w:t>
      </w:r>
      <w:r w:rsidR="009D0DAD" w:rsidRPr="00791290">
        <w:rPr>
          <w:rFonts w:ascii="Times New Roman" w:hAnsi="Times New Roman"/>
          <w:szCs w:val="22"/>
        </w:rPr>
        <w:t>děložního hrdla podstupuje každoročně více než 2 miliony žen. U několika tisíc žen ročně jsou objeveny nezhoubné nádory, které je možno úspěšně léčit a předejít tak rakovině děložního hrdla.</w:t>
      </w:r>
      <w:r w:rsidR="00576827" w:rsidRPr="00791290">
        <w:rPr>
          <w:rFonts w:ascii="Times New Roman" w:hAnsi="Times New Roman"/>
          <w:szCs w:val="22"/>
        </w:rPr>
        <w:t xml:space="preserve">  </w:t>
      </w:r>
    </w:p>
    <w:p w:rsidR="003C701D" w:rsidRPr="00791290" w:rsidRDefault="003C701D" w:rsidP="00147F2E">
      <w:pPr>
        <w:rPr>
          <w:rFonts w:ascii="Times New Roman" w:hAnsi="Times New Roman"/>
          <w:sz w:val="24"/>
          <w:szCs w:val="24"/>
        </w:rPr>
      </w:pPr>
    </w:p>
    <w:p w:rsidR="00314B0A" w:rsidRPr="00791290" w:rsidRDefault="00314B0A" w:rsidP="00147F2E">
      <w:pPr>
        <w:rPr>
          <w:rFonts w:ascii="Times New Roman" w:hAnsi="Times New Roman"/>
          <w:b/>
          <w:sz w:val="24"/>
          <w:szCs w:val="24"/>
        </w:rPr>
      </w:pPr>
      <w:r w:rsidRPr="00791290">
        <w:rPr>
          <w:rFonts w:ascii="Times New Roman" w:hAnsi="Times New Roman"/>
          <w:b/>
          <w:sz w:val="24"/>
          <w:szCs w:val="24"/>
        </w:rPr>
        <w:t xml:space="preserve">Kde občané najdou další potřebné informace? </w:t>
      </w:r>
    </w:p>
    <w:p w:rsidR="00371857" w:rsidRPr="00294256" w:rsidRDefault="00371857" w:rsidP="00147F2E">
      <w:pPr>
        <w:rPr>
          <w:rFonts w:ascii="Times New Roman" w:hAnsi="Times New Roman"/>
          <w:szCs w:val="22"/>
        </w:rPr>
      </w:pPr>
      <w:r w:rsidRPr="00294256">
        <w:rPr>
          <w:rFonts w:ascii="Times New Roman" w:hAnsi="Times New Roman"/>
          <w:szCs w:val="22"/>
        </w:rPr>
        <w:t xml:space="preserve">Údaje o epidemiologii zhoubných nádorů v ČR jsou k dispozici na portálu </w:t>
      </w:r>
      <w:hyperlink r:id="rId8" w:history="1">
        <w:r w:rsidRPr="00294256">
          <w:rPr>
            <w:rStyle w:val="Hypertextovodkaz"/>
            <w:rFonts w:ascii="Times New Roman" w:hAnsi="Times New Roman"/>
            <w:szCs w:val="22"/>
          </w:rPr>
          <w:t>www.svod.cz</w:t>
        </w:r>
      </w:hyperlink>
      <w:r w:rsidRPr="00294256">
        <w:rPr>
          <w:rFonts w:ascii="Times New Roman" w:hAnsi="Times New Roman"/>
          <w:szCs w:val="22"/>
        </w:rPr>
        <w:t xml:space="preserve">. </w:t>
      </w:r>
    </w:p>
    <w:p w:rsidR="00371857" w:rsidRPr="00294256" w:rsidRDefault="00371857" w:rsidP="00147F2E">
      <w:pPr>
        <w:rPr>
          <w:rFonts w:ascii="Times New Roman" w:hAnsi="Times New Roman"/>
          <w:szCs w:val="22"/>
        </w:rPr>
      </w:pPr>
      <w:r w:rsidRPr="00294256">
        <w:rPr>
          <w:rFonts w:ascii="Times New Roman" w:hAnsi="Times New Roman"/>
          <w:szCs w:val="22"/>
        </w:rPr>
        <w:t>Podrobné údaje o jednotlivých preventivních programech lze nalézt na portálech:</w:t>
      </w:r>
    </w:p>
    <w:p w:rsidR="00371857" w:rsidRPr="00294256" w:rsidRDefault="00371857" w:rsidP="00371857">
      <w:pPr>
        <w:pStyle w:val="Odstavecseseznamem"/>
        <w:numPr>
          <w:ilvl w:val="0"/>
          <w:numId w:val="3"/>
        </w:numPr>
        <w:rPr>
          <w:rFonts w:ascii="Times New Roman" w:hAnsi="Times New Roman"/>
          <w:szCs w:val="22"/>
        </w:rPr>
      </w:pPr>
      <w:r w:rsidRPr="00294256">
        <w:rPr>
          <w:rFonts w:ascii="Times New Roman" w:hAnsi="Times New Roman"/>
          <w:szCs w:val="22"/>
        </w:rPr>
        <w:t xml:space="preserve">screening nádorů prsu: </w:t>
      </w:r>
      <w:hyperlink r:id="rId9" w:history="1">
        <w:r w:rsidRPr="00294256">
          <w:rPr>
            <w:rStyle w:val="Hypertextovodkaz"/>
            <w:rFonts w:ascii="Times New Roman" w:hAnsi="Times New Roman"/>
            <w:szCs w:val="22"/>
          </w:rPr>
          <w:t>www.mamo.cz</w:t>
        </w:r>
      </w:hyperlink>
    </w:p>
    <w:p w:rsidR="00371857" w:rsidRPr="00294256" w:rsidRDefault="00371857" w:rsidP="00371857">
      <w:pPr>
        <w:pStyle w:val="Odstavecseseznamem"/>
        <w:numPr>
          <w:ilvl w:val="0"/>
          <w:numId w:val="3"/>
        </w:numPr>
        <w:rPr>
          <w:rFonts w:ascii="Times New Roman" w:hAnsi="Times New Roman"/>
          <w:szCs w:val="22"/>
        </w:rPr>
      </w:pPr>
      <w:r w:rsidRPr="00294256">
        <w:rPr>
          <w:rFonts w:ascii="Times New Roman" w:hAnsi="Times New Roman"/>
          <w:szCs w:val="22"/>
        </w:rPr>
        <w:t xml:space="preserve">screening nádorů tlustého střeva a konečníku: </w:t>
      </w:r>
      <w:hyperlink r:id="rId10" w:history="1">
        <w:r w:rsidRPr="00294256">
          <w:rPr>
            <w:rStyle w:val="Hypertextovodkaz"/>
            <w:rFonts w:ascii="Times New Roman" w:hAnsi="Times New Roman"/>
            <w:szCs w:val="22"/>
          </w:rPr>
          <w:t>www.kolorektum.cz</w:t>
        </w:r>
      </w:hyperlink>
      <w:r w:rsidRPr="00294256">
        <w:rPr>
          <w:rFonts w:ascii="Times New Roman" w:hAnsi="Times New Roman"/>
          <w:szCs w:val="22"/>
        </w:rPr>
        <w:t xml:space="preserve"> </w:t>
      </w:r>
    </w:p>
    <w:p w:rsidR="00371857" w:rsidRPr="00294256" w:rsidRDefault="00371857" w:rsidP="00371857">
      <w:pPr>
        <w:pStyle w:val="Odstavecseseznamem"/>
        <w:numPr>
          <w:ilvl w:val="0"/>
          <w:numId w:val="3"/>
        </w:numPr>
        <w:rPr>
          <w:rFonts w:ascii="Times New Roman" w:hAnsi="Times New Roman"/>
          <w:szCs w:val="22"/>
        </w:rPr>
      </w:pPr>
      <w:r w:rsidRPr="00294256">
        <w:rPr>
          <w:rFonts w:ascii="Times New Roman" w:hAnsi="Times New Roman"/>
          <w:szCs w:val="22"/>
        </w:rPr>
        <w:t xml:space="preserve">screening nádorů hrdla děložního: </w:t>
      </w:r>
      <w:hyperlink r:id="rId11" w:history="1">
        <w:r w:rsidRPr="00294256">
          <w:rPr>
            <w:rStyle w:val="Hypertextovodkaz"/>
            <w:rFonts w:ascii="Times New Roman" w:hAnsi="Times New Roman"/>
            <w:szCs w:val="22"/>
          </w:rPr>
          <w:t>www.cervix.cz</w:t>
        </w:r>
      </w:hyperlink>
      <w:r w:rsidRPr="00294256">
        <w:rPr>
          <w:rFonts w:ascii="Times New Roman" w:hAnsi="Times New Roman"/>
          <w:szCs w:val="22"/>
        </w:rPr>
        <w:t xml:space="preserve"> </w:t>
      </w:r>
    </w:p>
    <w:sectPr w:rsidR="00371857" w:rsidRPr="00294256" w:rsidSect="00E25E62">
      <w:headerReference w:type="default" r:id="rId12"/>
      <w:footerReference w:type="even" r:id="rId13"/>
      <w:footerReference w:type="default" r:id="rId14"/>
      <w:pgSz w:w="11906" w:h="16838"/>
      <w:pgMar w:top="1701" w:right="851" w:bottom="1701" w:left="1559" w:header="851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8A" w:rsidRDefault="0073258A" w:rsidP="005A72E7">
      <w:r>
        <w:separator/>
      </w:r>
    </w:p>
  </w:endnote>
  <w:endnote w:type="continuationSeparator" w:id="0">
    <w:p w:rsidR="0073258A" w:rsidRDefault="0073258A" w:rsidP="005A72E7">
      <w:r>
        <w:continuationSeparator/>
      </w:r>
    </w:p>
  </w:endnote>
  <w:endnote w:type="continuationNotice" w:id="1">
    <w:p w:rsidR="0073258A" w:rsidRDefault="007325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05" w:rsidRDefault="00D66D6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4" w:rsidRDefault="00F82834" w:rsidP="00F74BB1">
    <w:pPr>
      <w:pStyle w:val="Zpat"/>
      <w:tabs>
        <w:tab w:val="clear" w:pos="4536"/>
        <w:tab w:val="clear" w:pos="9072"/>
        <w:tab w:val="left" w:pos="2552"/>
        <w:tab w:val="left" w:pos="60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8A" w:rsidRDefault="0073258A" w:rsidP="005A72E7">
      <w:r>
        <w:separator/>
      </w:r>
    </w:p>
  </w:footnote>
  <w:footnote w:type="continuationSeparator" w:id="0">
    <w:p w:rsidR="0073258A" w:rsidRDefault="0073258A" w:rsidP="005A72E7">
      <w:r>
        <w:continuationSeparator/>
      </w:r>
    </w:p>
  </w:footnote>
  <w:footnote w:type="continuationNotice" w:id="1">
    <w:p w:rsidR="0073258A" w:rsidRDefault="007325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4" w:rsidRPr="0072579F" w:rsidRDefault="00F82834" w:rsidP="00E25E62">
    <w:pPr>
      <w:pStyle w:val="Citace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9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8360B4"/>
    <w:multiLevelType w:val="hybridMultilevel"/>
    <w:tmpl w:val="F79CA9F4"/>
    <w:lvl w:ilvl="0" w:tplc="C92AFE80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56A43"/>
    <w:multiLevelType w:val="hybridMultilevel"/>
    <w:tmpl w:val="9A1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34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B7300"/>
    <w:rsid w:val="00035187"/>
    <w:rsid w:val="00061B59"/>
    <w:rsid w:val="00074966"/>
    <w:rsid w:val="000766A3"/>
    <w:rsid w:val="00085E68"/>
    <w:rsid w:val="000B7300"/>
    <w:rsid w:val="000E1BD6"/>
    <w:rsid w:val="0010653D"/>
    <w:rsid w:val="00147F2E"/>
    <w:rsid w:val="001540BC"/>
    <w:rsid w:val="0016471C"/>
    <w:rsid w:val="001769A7"/>
    <w:rsid w:val="00180CC0"/>
    <w:rsid w:val="001C1AF1"/>
    <w:rsid w:val="001E1A5E"/>
    <w:rsid w:val="001F3E35"/>
    <w:rsid w:val="00205176"/>
    <w:rsid w:val="0020655B"/>
    <w:rsid w:val="002150CE"/>
    <w:rsid w:val="00224B5A"/>
    <w:rsid w:val="00225005"/>
    <w:rsid w:val="00254DE9"/>
    <w:rsid w:val="00272D4D"/>
    <w:rsid w:val="00284460"/>
    <w:rsid w:val="00294256"/>
    <w:rsid w:val="002A4D33"/>
    <w:rsid w:val="002C4F47"/>
    <w:rsid w:val="002D6646"/>
    <w:rsid w:val="002E51CE"/>
    <w:rsid w:val="002E719B"/>
    <w:rsid w:val="00314B0A"/>
    <w:rsid w:val="00335753"/>
    <w:rsid w:val="00355CF7"/>
    <w:rsid w:val="00355D55"/>
    <w:rsid w:val="00371857"/>
    <w:rsid w:val="00381107"/>
    <w:rsid w:val="003C12EC"/>
    <w:rsid w:val="003C701D"/>
    <w:rsid w:val="003C730F"/>
    <w:rsid w:val="003D444E"/>
    <w:rsid w:val="003E2F74"/>
    <w:rsid w:val="0040579A"/>
    <w:rsid w:val="00441C85"/>
    <w:rsid w:val="00476BF2"/>
    <w:rsid w:val="00484C6F"/>
    <w:rsid w:val="00500B22"/>
    <w:rsid w:val="005054ED"/>
    <w:rsid w:val="00521118"/>
    <w:rsid w:val="00576827"/>
    <w:rsid w:val="005861D4"/>
    <w:rsid w:val="00594352"/>
    <w:rsid w:val="005A72E7"/>
    <w:rsid w:val="005B42C8"/>
    <w:rsid w:val="005E094F"/>
    <w:rsid w:val="005E320D"/>
    <w:rsid w:val="005E385E"/>
    <w:rsid w:val="006111DD"/>
    <w:rsid w:val="0062639E"/>
    <w:rsid w:val="0064601C"/>
    <w:rsid w:val="00663CE4"/>
    <w:rsid w:val="00692344"/>
    <w:rsid w:val="00707B88"/>
    <w:rsid w:val="00711F3F"/>
    <w:rsid w:val="00720E0C"/>
    <w:rsid w:val="0072579F"/>
    <w:rsid w:val="0073258A"/>
    <w:rsid w:val="00735970"/>
    <w:rsid w:val="00741640"/>
    <w:rsid w:val="00762F24"/>
    <w:rsid w:val="00791290"/>
    <w:rsid w:val="0079183E"/>
    <w:rsid w:val="007B4ECA"/>
    <w:rsid w:val="007C675F"/>
    <w:rsid w:val="007D6F24"/>
    <w:rsid w:val="00807493"/>
    <w:rsid w:val="008276CC"/>
    <w:rsid w:val="008D3028"/>
    <w:rsid w:val="008D6720"/>
    <w:rsid w:val="008D6788"/>
    <w:rsid w:val="009076B2"/>
    <w:rsid w:val="00912879"/>
    <w:rsid w:val="00912AA0"/>
    <w:rsid w:val="00922804"/>
    <w:rsid w:val="009263BD"/>
    <w:rsid w:val="009372C0"/>
    <w:rsid w:val="009455EC"/>
    <w:rsid w:val="00956E28"/>
    <w:rsid w:val="00974FB7"/>
    <w:rsid w:val="00975A6C"/>
    <w:rsid w:val="009878D3"/>
    <w:rsid w:val="009940CF"/>
    <w:rsid w:val="009A3876"/>
    <w:rsid w:val="009B07D2"/>
    <w:rsid w:val="009D0DAD"/>
    <w:rsid w:val="009F148A"/>
    <w:rsid w:val="00A03002"/>
    <w:rsid w:val="00A13EB7"/>
    <w:rsid w:val="00A17F1B"/>
    <w:rsid w:val="00A23BAE"/>
    <w:rsid w:val="00A24107"/>
    <w:rsid w:val="00A24A7F"/>
    <w:rsid w:val="00A56D32"/>
    <w:rsid w:val="00A90283"/>
    <w:rsid w:val="00A96437"/>
    <w:rsid w:val="00AB7682"/>
    <w:rsid w:val="00B1291A"/>
    <w:rsid w:val="00C2424A"/>
    <w:rsid w:val="00C351FC"/>
    <w:rsid w:val="00C45327"/>
    <w:rsid w:val="00C80E8E"/>
    <w:rsid w:val="00C80F0E"/>
    <w:rsid w:val="00C9057E"/>
    <w:rsid w:val="00CC1178"/>
    <w:rsid w:val="00CC1742"/>
    <w:rsid w:val="00CE3317"/>
    <w:rsid w:val="00CF1431"/>
    <w:rsid w:val="00CF3610"/>
    <w:rsid w:val="00D24603"/>
    <w:rsid w:val="00D2626A"/>
    <w:rsid w:val="00D45ED4"/>
    <w:rsid w:val="00D53991"/>
    <w:rsid w:val="00D66D67"/>
    <w:rsid w:val="00D749B3"/>
    <w:rsid w:val="00D775D8"/>
    <w:rsid w:val="00D84101"/>
    <w:rsid w:val="00DA41DC"/>
    <w:rsid w:val="00DA5613"/>
    <w:rsid w:val="00E23EE4"/>
    <w:rsid w:val="00E25E62"/>
    <w:rsid w:val="00E55DFC"/>
    <w:rsid w:val="00E674C1"/>
    <w:rsid w:val="00EA0A83"/>
    <w:rsid w:val="00EA4F03"/>
    <w:rsid w:val="00ED2001"/>
    <w:rsid w:val="00EF0EF2"/>
    <w:rsid w:val="00EF374E"/>
    <w:rsid w:val="00F13DDD"/>
    <w:rsid w:val="00F23AF5"/>
    <w:rsid w:val="00F31F10"/>
    <w:rsid w:val="00F36EAF"/>
    <w:rsid w:val="00F37548"/>
    <w:rsid w:val="00F74BB1"/>
    <w:rsid w:val="00F82834"/>
    <w:rsid w:val="00FA37FD"/>
    <w:rsid w:val="00FB41FE"/>
    <w:rsid w:val="00F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ace">
    <w:name w:val="Quote"/>
    <w:basedOn w:val="Normln"/>
    <w:next w:val="Normln"/>
    <w:link w:val="CitaceChar"/>
    <w:uiPriority w:val="29"/>
    <w:qFormat/>
    <w:rsid w:val="00FD499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70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01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0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0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1857"/>
    <w:rPr>
      <w:color w:val="0000FF" w:themeColor="hyperlink"/>
      <w:u w:val="single"/>
    </w:rPr>
  </w:style>
  <w:style w:type="paragraph" w:customStyle="1" w:styleId="Default">
    <w:name w:val="Default"/>
    <w:rsid w:val="00D8410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D84101"/>
    <w:rPr>
      <w:rFonts w:cs="Myriad Pro"/>
      <w:b/>
      <w:bCs/>
      <w:color w:val="F1D98D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D84101"/>
    <w:pPr>
      <w:spacing w:line="241" w:lineRule="atLeast"/>
    </w:pPr>
    <w:rPr>
      <w:rFonts w:ascii="Myriad Pro Light" w:hAnsi="Myriad Pro Light" w:cstheme="minorBidi"/>
      <w:color w:val="auto"/>
    </w:rPr>
  </w:style>
  <w:style w:type="character" w:customStyle="1" w:styleId="A1">
    <w:name w:val="A1"/>
    <w:uiPriority w:val="99"/>
    <w:rsid w:val="00D84101"/>
    <w:rPr>
      <w:rFonts w:cs="Myriad Pro Light"/>
      <w:b/>
      <w:bCs/>
      <w:color w:val="F1D98D"/>
      <w:sz w:val="20"/>
      <w:szCs w:val="20"/>
    </w:rPr>
  </w:style>
  <w:style w:type="character" w:customStyle="1" w:styleId="A2">
    <w:name w:val="A2"/>
    <w:uiPriority w:val="99"/>
    <w:rsid w:val="00D84101"/>
    <w:rPr>
      <w:rFonts w:cs="Myriad Pro Light"/>
      <w:b/>
      <w:bCs/>
      <w:color w:val="F1D98D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D84101"/>
    <w:pPr>
      <w:spacing w:line="241" w:lineRule="atLeast"/>
    </w:pPr>
    <w:rPr>
      <w:rFonts w:ascii="Myriad Pro Light" w:hAnsi="Myriad Pro Light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FD499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d.cz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rvi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lorekt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m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1F5C-0B49-4512-9476-4AA399F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1148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dusek</cp:lastModifiedBy>
  <cp:revision>90</cp:revision>
  <dcterms:created xsi:type="dcterms:W3CDTF">2011-03-04T09:38:00Z</dcterms:created>
  <dcterms:modified xsi:type="dcterms:W3CDTF">2013-12-03T23:23:00Z</dcterms:modified>
</cp:coreProperties>
</file>